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adjustRightInd w:val="0"/>
        <w:snapToGrid w:val="0"/>
        <w:spacing w:line="336" w:lineRule="auto"/>
        <w:rPr>
          <w:rFonts w:hint="eastAsia"/>
          <w:szCs w:val="30"/>
        </w:rPr>
      </w:pPr>
    </w:p>
    <w:p>
      <w:pPr>
        <w:pStyle w:val="2"/>
        <w:rPr>
          <w:rFonts w:hint="eastAsia"/>
          <w:szCs w:val="30"/>
        </w:rPr>
      </w:pPr>
    </w:p>
    <w:p>
      <w:pPr>
        <w:pStyle w:val="2"/>
        <w:rPr>
          <w:rFonts w:hint="eastAsia"/>
          <w:szCs w:val="30"/>
        </w:rPr>
      </w:pPr>
    </w:p>
    <w:p>
      <w:pPr>
        <w:wordWrap w:val="0"/>
        <w:adjustRightInd w:val="0"/>
        <w:snapToGrid w:val="0"/>
        <w:spacing w:line="336" w:lineRule="auto"/>
        <w:rPr>
          <w:rFonts w:hint="eastAsia"/>
          <w:szCs w:val="30"/>
        </w:rPr>
      </w:pPr>
    </w:p>
    <w:p>
      <w:pPr>
        <w:wordWrap w:val="0"/>
        <w:adjustRightInd w:val="0"/>
        <w:snapToGrid w:val="0"/>
        <w:spacing w:line="360" w:lineRule="auto"/>
        <w:jc w:val="center"/>
        <w:rPr>
          <w:rFonts w:hint="eastAsia" w:ascii="方正小标宋简体" w:hAnsi="华文中宋" w:eastAsia="方正小标宋简体"/>
          <w:color w:val="000000"/>
          <w:spacing w:val="60"/>
          <w:sz w:val="52"/>
          <w:szCs w:val="52"/>
          <w:lang w:val="en-US" w:eastAsia="zh-CN"/>
        </w:rPr>
      </w:pPr>
    </w:p>
    <w:p>
      <w:pPr>
        <w:wordWrap w:val="0"/>
        <w:adjustRightInd w:val="0"/>
        <w:snapToGrid w:val="0"/>
        <w:spacing w:line="360" w:lineRule="auto"/>
        <w:jc w:val="center"/>
        <w:rPr>
          <w:rFonts w:hint="eastAsia" w:ascii="方正小标宋简体" w:hAnsi="华文中宋" w:eastAsia="方正小标宋简体"/>
          <w:color w:val="000000"/>
          <w:sz w:val="52"/>
          <w:szCs w:val="52"/>
        </w:rPr>
      </w:pPr>
      <w:r>
        <w:rPr>
          <w:rFonts w:hint="eastAsia" w:ascii="方正小标宋简体" w:hAnsi="华文中宋" w:eastAsia="方正小标宋简体"/>
          <w:color w:val="000000"/>
          <w:spacing w:val="60"/>
          <w:sz w:val="52"/>
          <w:szCs w:val="52"/>
          <w:lang w:val="en-US" w:eastAsia="zh-CN"/>
        </w:rPr>
        <w:t>增资扩股合同</w:t>
      </w:r>
      <w:r>
        <w:rPr>
          <w:rFonts w:hint="eastAsia" w:ascii="方正小标宋简体" w:hAnsi="华文中宋" w:eastAsia="方正小标宋简体"/>
          <w:color w:val="000000"/>
          <w:spacing w:val="60"/>
          <w:sz w:val="52"/>
          <w:szCs w:val="52"/>
        </w:rPr>
        <w:t>示范文</w:t>
      </w:r>
      <w:r>
        <w:rPr>
          <w:rFonts w:hint="eastAsia" w:ascii="方正小标宋简体" w:hAnsi="华文中宋" w:eastAsia="方正小标宋简体"/>
          <w:color w:val="000000"/>
          <w:sz w:val="52"/>
          <w:szCs w:val="52"/>
        </w:rPr>
        <w:t>本</w:t>
      </w:r>
    </w:p>
    <w:p>
      <w:pPr>
        <w:pStyle w:val="2"/>
        <w:ind w:left="0" w:leftChars="0" w:firstLine="0" w:firstLineChars="0"/>
        <w:jc w:val="center"/>
        <w:rPr>
          <w:rFonts w:hint="eastAsia"/>
        </w:rPr>
      </w:pPr>
      <w:r>
        <w:rPr>
          <w:rFonts w:hint="eastAsia" w:ascii="楷体" w:hAnsi="楷体" w:eastAsia="楷体" w:cs="楷体"/>
          <w:b/>
          <w:bCs/>
          <w:color w:val="000000"/>
          <w:sz w:val="44"/>
          <w:szCs w:val="44"/>
          <w:lang w:eastAsia="zh-CN"/>
        </w:rPr>
        <w:t>（</w:t>
      </w:r>
      <w:r>
        <w:rPr>
          <w:rFonts w:hint="eastAsia" w:ascii="楷体" w:hAnsi="楷体" w:eastAsia="楷体" w:cs="楷体"/>
          <w:b/>
          <w:bCs/>
          <w:color w:val="000000"/>
          <w:sz w:val="44"/>
          <w:szCs w:val="44"/>
          <w:lang w:val="en-US" w:eastAsia="zh-CN"/>
        </w:rPr>
        <w:t>2022版</w:t>
      </w:r>
      <w:r>
        <w:rPr>
          <w:rFonts w:hint="eastAsia" w:ascii="楷体" w:hAnsi="楷体" w:eastAsia="楷体" w:cs="楷体"/>
          <w:b/>
          <w:bCs/>
          <w:color w:val="000000"/>
          <w:sz w:val="44"/>
          <w:szCs w:val="44"/>
          <w:lang w:eastAsia="zh-CN"/>
        </w:rPr>
        <w:t>）</w:t>
      </w:r>
    </w:p>
    <w:p>
      <w:pPr>
        <w:wordWrap w:val="0"/>
        <w:adjustRightInd w:val="0"/>
        <w:snapToGrid w:val="0"/>
        <w:spacing w:line="360" w:lineRule="auto"/>
        <w:jc w:val="center"/>
        <w:rPr>
          <w:rFonts w:hint="eastAsia" w:ascii="方正小标宋简体" w:hAnsi="华文中宋" w:eastAsia="方正小标宋简体"/>
          <w:color w:val="000000"/>
          <w:sz w:val="52"/>
          <w:szCs w:val="52"/>
        </w:rPr>
      </w:pPr>
    </w:p>
    <w:p>
      <w:pPr>
        <w:wordWrap w:val="0"/>
        <w:adjustRightInd w:val="0"/>
        <w:snapToGrid w:val="0"/>
        <w:spacing w:line="336" w:lineRule="auto"/>
        <w:rPr>
          <w:rFonts w:hAnsi="Calibri"/>
          <w:szCs w:val="30"/>
        </w:rPr>
      </w:pPr>
    </w:p>
    <w:p>
      <w:pPr>
        <w:wordWrap w:val="0"/>
        <w:adjustRightInd w:val="0"/>
        <w:snapToGrid w:val="0"/>
        <w:spacing w:line="336" w:lineRule="auto"/>
        <w:rPr>
          <w:rFonts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wordWrap w:val="0"/>
        <w:adjustRightInd w:val="0"/>
        <w:snapToGrid w:val="0"/>
        <w:spacing w:line="336" w:lineRule="auto"/>
        <w:rPr>
          <w:rFonts w:hint="eastAsia" w:hAnsi="Calibri"/>
          <w:szCs w:val="30"/>
        </w:rPr>
      </w:pPr>
    </w:p>
    <w:p>
      <w:pPr>
        <w:adjustRightInd w:val="0"/>
        <w:snapToGrid w:val="0"/>
        <w:ind w:firstLine="1902" w:firstLineChars="600"/>
        <w:rPr>
          <w:rFonts w:hint="eastAsia" w:hAnsi="华文中宋"/>
          <w:b/>
          <w:sz w:val="32"/>
          <w:szCs w:val="32"/>
          <w:lang w:eastAsia="zh-CN"/>
        </w:rPr>
      </w:pPr>
    </w:p>
    <w:p>
      <w:pPr>
        <w:adjustRightInd w:val="0"/>
        <w:snapToGrid w:val="0"/>
        <w:ind w:firstLine="2219" w:firstLineChars="700"/>
        <w:rPr>
          <w:rFonts w:hint="eastAsia" w:ascii="仿宋_GB2312" w:hAnsi="华文中宋" w:eastAsia="仿宋_GB2312"/>
          <w:b/>
          <w:sz w:val="32"/>
          <w:szCs w:val="32"/>
          <w:lang w:eastAsia="zh-CN"/>
        </w:rPr>
      </w:pPr>
      <w:r>
        <w:rPr>
          <w:rFonts w:hint="eastAsia" w:ascii="仿宋_GB2312" w:hAnsi="华文中宋" w:eastAsia="仿宋_GB2312"/>
          <w:b/>
          <w:sz w:val="32"/>
          <w:szCs w:val="32"/>
          <w:lang w:eastAsia="zh-CN"/>
        </w:rPr>
        <w:t>长沙联</w:t>
      </w:r>
      <w:r>
        <w:rPr>
          <w:rFonts w:hint="eastAsia" w:ascii="仿宋_GB2312" w:hAnsi="华文中宋" w:eastAsia="仿宋_GB2312"/>
          <w:b/>
          <w:sz w:val="32"/>
          <w:szCs w:val="32"/>
          <w:lang w:val="en-US" w:eastAsia="zh-CN"/>
        </w:rPr>
        <w:t>合产权</w:t>
      </w:r>
      <w:r>
        <w:rPr>
          <w:rFonts w:hint="eastAsia" w:ascii="仿宋_GB2312" w:hAnsi="华文中宋" w:eastAsia="仿宋_GB2312"/>
          <w:b/>
          <w:sz w:val="32"/>
          <w:szCs w:val="32"/>
          <w:lang w:eastAsia="zh-CN"/>
        </w:rPr>
        <w:t>交</w:t>
      </w:r>
      <w:r>
        <w:rPr>
          <w:rFonts w:hint="eastAsia" w:ascii="仿宋_GB2312" w:hAnsi="华文中宋" w:eastAsia="仿宋_GB2312"/>
          <w:b/>
          <w:sz w:val="32"/>
          <w:szCs w:val="32"/>
          <w:lang w:val="en-US" w:eastAsia="zh-CN"/>
        </w:rPr>
        <w:t>易</w:t>
      </w:r>
      <w:r>
        <w:rPr>
          <w:rFonts w:hint="eastAsia" w:ascii="仿宋_GB2312" w:hAnsi="华文中宋" w:eastAsia="仿宋_GB2312"/>
          <w:b/>
          <w:sz w:val="32"/>
          <w:szCs w:val="32"/>
          <w:lang w:eastAsia="zh-CN"/>
        </w:rPr>
        <w:t>所</w:t>
      </w:r>
      <w:r>
        <w:rPr>
          <w:rFonts w:hint="eastAsia" w:ascii="仿宋_GB2312" w:hAnsi="华文中宋" w:eastAsia="仿宋_GB2312"/>
          <w:b/>
          <w:sz w:val="32"/>
          <w:szCs w:val="32"/>
          <w:lang w:val="en-US" w:eastAsia="zh-CN"/>
        </w:rPr>
        <w:t>有限公司</w:t>
      </w:r>
      <w:r>
        <w:rPr>
          <w:rFonts w:hint="eastAsia" w:ascii="仿宋_GB2312" w:hAnsi="华文中宋" w:eastAsia="仿宋_GB2312"/>
          <w:b/>
          <w:sz w:val="32"/>
          <w:szCs w:val="32"/>
          <w:lang w:eastAsia="zh-CN"/>
        </w:rPr>
        <w:t xml:space="preserve">   制</w:t>
      </w:r>
    </w:p>
    <w:p>
      <w:pPr>
        <w:adjustRightInd w:val="0"/>
        <w:snapToGrid w:val="0"/>
        <w:ind w:firstLine="2219" w:firstLineChars="700"/>
        <w:rPr>
          <w:rFonts w:hint="eastAsia" w:ascii="仿宋_GB2312" w:hAnsi="华文中宋" w:eastAsia="仿宋_GB2312"/>
          <w:b/>
          <w:sz w:val="32"/>
          <w:szCs w:val="32"/>
          <w:lang w:eastAsia="zh-CN"/>
        </w:rPr>
        <w:sectPr>
          <w:footerReference r:id="rId3" w:type="default"/>
          <w:footerReference r:id="rId4" w:type="even"/>
          <w:pgSz w:w="11906" w:h="16838"/>
          <w:pgMar w:top="1178" w:right="1474" w:bottom="1649" w:left="1588" w:header="851" w:footer="694" w:gutter="0"/>
          <w:pgNumType w:fmt="numberInDash"/>
          <w:cols w:space="720" w:num="1"/>
          <w:docGrid w:type="linesAndChars" w:linePitch="472" w:charSpace="-743"/>
        </w:sectPr>
      </w:pPr>
    </w:p>
    <w:p>
      <w:pPr>
        <w:tabs>
          <w:tab w:val="left" w:pos="790"/>
        </w:tabs>
        <w:wordWrap w:val="0"/>
        <w:adjustRightInd w:val="0"/>
        <w:snapToGrid w:val="0"/>
        <w:spacing w:before="0" w:after="0" w:line="240" w:lineRule="auto"/>
        <w:ind w:right="0" w:rightChars="0" w:firstLine="3496" w:firstLineChars="800"/>
        <w:jc w:val="both"/>
        <w:rPr>
          <w:rFonts w:hint="eastAsia" w:ascii="方正小标宋简体" w:hAnsi="宋体" w:eastAsia="方正小标宋简体" w:cs="Times New Roman"/>
          <w:sz w:val="44"/>
          <w:szCs w:val="44"/>
          <w:lang w:val="en-US" w:eastAsia="zh-CN"/>
        </w:rPr>
      </w:pPr>
      <w:r>
        <w:rPr>
          <w:rFonts w:hint="eastAsia" w:ascii="方正小标宋简体" w:hAnsi="宋体" w:eastAsia="方正小标宋简体" w:cs="Times New Roman"/>
          <w:sz w:val="44"/>
          <w:szCs w:val="44"/>
        </w:rPr>
        <w:t>使用</w:t>
      </w:r>
      <w:r>
        <w:rPr>
          <w:rFonts w:hint="eastAsia" w:ascii="方正小标宋简体" w:hAnsi="宋体" w:eastAsia="方正小标宋简体" w:cs="Times New Roman"/>
          <w:sz w:val="44"/>
          <w:szCs w:val="44"/>
          <w:lang w:val="en-US" w:eastAsia="zh-CN"/>
        </w:rPr>
        <w:t>说明</w:t>
      </w:r>
    </w:p>
    <w:p>
      <w:pPr>
        <w:tabs>
          <w:tab w:val="left" w:pos="790"/>
        </w:tabs>
        <w:wordWrap w:val="0"/>
        <w:adjustRightInd w:val="0"/>
        <w:snapToGrid w:val="0"/>
        <w:jc w:val="center"/>
        <w:rPr>
          <w:rFonts w:hint="eastAsia" w:ascii="方正小标宋简体" w:hAnsi="宋体" w:eastAsia="方正小标宋简体"/>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当事人使用本示范文本前应认真阅读、同意并遵守以下条款：</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一、本合同文本根据《中华人民共和国</w:t>
      </w:r>
      <w:r>
        <w:rPr>
          <w:rFonts w:hint="eastAsia" w:ascii="仿宋_GB2312" w:hAnsi="仿宋_GB2312" w:eastAsia="仿宋_GB2312" w:cs="仿宋_GB2312"/>
          <w:color w:val="000000" w:themeColor="text1"/>
          <w:sz w:val="32"/>
          <w:szCs w:val="32"/>
          <w:lang w:eastAsia="zh-CN"/>
          <w14:textFill>
            <w14:solidFill>
              <w14:schemeClr w14:val="tx1"/>
            </w14:solidFill>
          </w14:textFill>
        </w:rPr>
        <w:t>民法典</w:t>
      </w:r>
      <w:r>
        <w:rPr>
          <w:rFonts w:hint="eastAsia" w:ascii="仿宋_GB2312" w:hAnsi="仿宋_GB2312" w:eastAsia="仿宋_GB2312" w:cs="仿宋_GB2312"/>
          <w:color w:val="000000" w:themeColor="text1"/>
          <w:sz w:val="32"/>
          <w:szCs w:val="32"/>
          <w14:textFill>
            <w14:solidFill>
              <w14:schemeClr w14:val="tx1"/>
            </w14:solidFill>
          </w14:textFill>
        </w:rPr>
        <w:t>》、《中华人民共和国公司法》制定。</w:t>
      </w:r>
      <w:r>
        <w:rPr>
          <w:rFonts w:hint="eastAsia" w:ascii="仿宋_GB2312" w:hAnsi="仿宋_GB2312" w:eastAsia="仿宋_GB2312" w:cs="仿宋_GB2312"/>
          <w:b/>
          <w:bCs/>
          <w:color w:val="000000" w:themeColor="text1"/>
          <w:sz w:val="32"/>
          <w:szCs w:val="32"/>
          <w14:textFill>
            <w14:solidFill>
              <w14:schemeClr w14:val="tx1"/>
            </w14:solidFill>
          </w14:textFill>
        </w:rPr>
        <w:t>构成本合同示范文本要件的合同条款均为提示性适用条款。条款所列内容，包括括号中所列内容，均由合同当事人约定时选择采用。</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、为更好地维护合同当事人的权益，签订时应当慎重，力求具体、严密。订立具体条款，需要约定的必须表述清楚，无须约定的用“本合同不涉及此条款”或“本合同对此条款无须约定”加以载明。</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三、标的企业：指依法成立、合法存续拟进行增资扩股的有限责任公司。</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四、原股东：指标的企业的合法股东。</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五、新增投资方：指原股东之外，通过长沙联合产权交易所有限公司，以网络竞价、竞争性谈判、综合评审等方式对标的企业进行投资，取得标的企业增资扩股后股权的自然人、法人或其他组织。</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六、增资扩股：是指在标的企业原股东之外，吸收新股东投资入股，并增加公司注册资本。</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七、合同涉及当事人基本概况的填写：应按合同文本要求载明，企业类型按标的企业、原股东、新增投资方的营业执照所确定的类型填写。当事人如系自然人的，应载明其姓名、国籍、身份证号码(护照号码)、居住地址、邮编、电话、开户银行帐号等。合同涉及的原股东、新增投资方是多方的，均应分别载明。</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八、</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出资额</w:t>
      </w:r>
      <w:r>
        <w:rPr>
          <w:rFonts w:hint="eastAsia" w:ascii="仿宋_GB2312" w:hAnsi="仿宋_GB2312" w:eastAsia="仿宋_GB2312" w:cs="仿宋_GB2312"/>
          <w:bCs/>
          <w:color w:val="000000" w:themeColor="text1"/>
          <w:sz w:val="32"/>
          <w:szCs w:val="32"/>
          <w14:textFill>
            <w14:solidFill>
              <w14:schemeClr w14:val="tx1"/>
            </w14:solidFill>
          </w14:textFill>
        </w:rPr>
        <w:t>：企业增</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资</w:t>
      </w:r>
      <w:r>
        <w:rPr>
          <w:rFonts w:hint="eastAsia" w:ascii="仿宋_GB2312" w:hAnsi="仿宋_GB2312" w:eastAsia="仿宋_GB2312" w:cs="仿宋_GB2312"/>
          <w:bCs/>
          <w:color w:val="000000" w:themeColor="text1"/>
          <w:sz w:val="32"/>
          <w:szCs w:val="32"/>
          <w14:textFill>
            <w14:solidFill>
              <w14:schemeClr w14:val="tx1"/>
            </w14:solidFill>
          </w14:textFill>
        </w:rPr>
        <w:t>扩股必须经资产评估确认后，作为挂牌</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金额</w:t>
      </w:r>
      <w:r>
        <w:rPr>
          <w:rFonts w:hint="eastAsia" w:ascii="仿宋_GB2312" w:hAnsi="仿宋_GB2312" w:eastAsia="仿宋_GB2312" w:cs="仿宋_GB2312"/>
          <w:bCs/>
          <w:color w:val="000000" w:themeColor="text1"/>
          <w:sz w:val="32"/>
          <w:szCs w:val="32"/>
          <w14:textFill>
            <w14:solidFill>
              <w14:schemeClr w14:val="tx1"/>
            </w14:solidFill>
          </w14:textFill>
        </w:rPr>
        <w:t>的参考依据。新增投资方对标的企业实际出资额以在长沙联合产权交易所有限公司挂牌成交</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结束</w:t>
      </w:r>
      <w:r>
        <w:rPr>
          <w:rFonts w:hint="eastAsia" w:ascii="仿宋_GB2312" w:hAnsi="仿宋_GB2312" w:eastAsia="仿宋_GB2312" w:cs="仿宋_GB2312"/>
          <w:bCs/>
          <w:color w:val="000000" w:themeColor="text1"/>
          <w:sz w:val="32"/>
          <w:szCs w:val="32"/>
          <w14:textFill>
            <w14:solidFill>
              <w14:schemeClr w14:val="tx1"/>
            </w14:solidFill>
          </w14:textFill>
        </w:rPr>
        <w:t>为准。</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九、增</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资</w:t>
      </w:r>
      <w:r>
        <w:rPr>
          <w:rFonts w:hint="eastAsia" w:ascii="仿宋_GB2312" w:hAnsi="仿宋_GB2312" w:eastAsia="仿宋_GB2312" w:cs="仿宋_GB2312"/>
          <w:bCs/>
          <w:color w:val="000000" w:themeColor="text1"/>
          <w:sz w:val="32"/>
          <w:szCs w:val="32"/>
          <w14:textFill>
            <w14:solidFill>
              <w14:schemeClr w14:val="tx1"/>
            </w14:solidFill>
          </w14:textFill>
        </w:rPr>
        <w:t>扩股涉及的企业职工安置：指按照有关规定，应约定标的企业妥善安置职工的有关事项。如符合《企业国有资产交易监督管理办法》规定情形的，应附企业职工代表大会审议职工安置方案的决议。</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十一、增</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资</w:t>
      </w:r>
      <w:r>
        <w:rPr>
          <w:rFonts w:hint="eastAsia" w:ascii="仿宋_GB2312" w:hAnsi="仿宋_GB2312" w:eastAsia="仿宋_GB2312" w:cs="仿宋_GB2312"/>
          <w:bCs/>
          <w:color w:val="000000" w:themeColor="text1"/>
          <w:sz w:val="32"/>
          <w:szCs w:val="32"/>
          <w14:textFill>
            <w14:solidFill>
              <w14:schemeClr w14:val="tx1"/>
            </w14:solidFill>
          </w14:textFill>
        </w:rPr>
        <w:t>扩股涉及的企业债权、债务的承继和清偿办法：指增</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资</w:t>
      </w:r>
      <w:r>
        <w:rPr>
          <w:rFonts w:hint="eastAsia" w:ascii="仿宋_GB2312" w:hAnsi="仿宋_GB2312" w:eastAsia="仿宋_GB2312" w:cs="仿宋_GB2312"/>
          <w:bCs/>
          <w:color w:val="000000" w:themeColor="text1"/>
          <w:sz w:val="32"/>
          <w:szCs w:val="32"/>
          <w14:textFill>
            <w14:solidFill>
              <w14:schemeClr w14:val="tx1"/>
            </w14:solidFill>
          </w14:textFill>
        </w:rPr>
        <w:t>企业涉及的债权、债务包括拖欠职工债务的处理。如符合《企业国有资产交易监督管理办法》规定情形的，应附经债权金融机构书面同意的相关债权债务协议。</w:t>
      </w:r>
    </w:p>
    <w:p>
      <w:pPr>
        <w:keepNext w:val="0"/>
        <w:keepLines w:val="0"/>
        <w:pageBreakBefore w:val="0"/>
        <w:widowControl w:val="0"/>
        <w:kinsoku/>
        <w:wordWrap/>
        <w:overflowPunct/>
        <w:topLinePunct w:val="0"/>
        <w:autoSpaceDE/>
        <w:autoSpaceDN/>
        <w:bidi w:val="0"/>
        <w:adjustRightInd w:val="0"/>
        <w:snapToGrid w:val="0"/>
        <w:spacing w:line="560" w:lineRule="exact"/>
        <w:ind w:firstLine="567"/>
        <w:textAlignment w:val="auto"/>
        <w:rPr>
          <w:rFonts w:hint="eastAsia"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十二、长沙联合产权交易所有限公司郑重声明：</w:t>
      </w:r>
      <w:r>
        <w:rPr>
          <w:rFonts w:hint="eastAsia" w:ascii="仿宋_GB2312" w:hAnsi="仿宋_GB2312" w:eastAsia="仿宋_GB2312" w:cs="仿宋_GB2312"/>
          <w:b/>
          <w:color w:val="000000" w:themeColor="text1"/>
          <w:sz w:val="32"/>
          <w:szCs w:val="32"/>
          <w14:textFill>
            <w14:solidFill>
              <w14:schemeClr w14:val="tx1"/>
            </w14:solidFill>
          </w14:textFill>
        </w:rPr>
        <w:t>本合同范本仅供在本联交所进行产权交易的双方当事人根据其实际情况选择使用。本联交所不承担因制作并提供本合同范本而被要求承担任何保证义务，包括但不限于保证本合同范本条款内容完备、保证交易双方签约目的的真实、保证交易双方的签约主体资格、保证交易双方为签订本合同而做出的声明及承诺以及提供的文件资料真实准确等一切保证责任。</w:t>
      </w:r>
    </w:p>
    <w:p>
      <w:pPr>
        <w:keepNext w:val="0"/>
        <w:keepLines w:val="0"/>
        <w:pageBreakBefore w:val="0"/>
        <w:widowControl w:val="0"/>
        <w:kinsoku/>
        <w:wordWrap/>
        <w:overflowPunct/>
        <w:topLinePunct w:val="0"/>
        <w:autoSpaceDE/>
        <w:autoSpaceDN/>
        <w:bidi w:val="0"/>
        <w:snapToGrid w:val="0"/>
        <w:spacing w:line="560" w:lineRule="exact"/>
        <w:ind w:firstLine="2065" w:firstLineChars="695"/>
        <w:textAlignment w:val="auto"/>
        <w:rPr>
          <w:rFonts w:ascii="仿宋_GB2312" w:eastAsia="仿宋_GB2312"/>
          <w:b/>
          <w:color w:val="000000" w:themeColor="text1"/>
          <w:sz w:val="30"/>
          <w:szCs w:val="30"/>
          <w14:textFill>
            <w14:solidFill>
              <w14:schemeClr w14:val="tx1"/>
            </w14:solidFill>
          </w14:textFill>
        </w:rPr>
      </w:pPr>
    </w:p>
    <w:p>
      <w:pPr>
        <w:keepNext w:val="0"/>
        <w:keepLines w:val="0"/>
        <w:pageBreakBefore w:val="0"/>
        <w:widowControl w:val="0"/>
        <w:kinsoku/>
        <w:wordWrap/>
        <w:overflowPunct/>
        <w:topLinePunct w:val="0"/>
        <w:autoSpaceDE/>
        <w:autoSpaceDN/>
        <w:bidi w:val="0"/>
        <w:snapToGrid w:val="0"/>
        <w:spacing w:line="560" w:lineRule="exact"/>
        <w:ind w:firstLine="2065" w:firstLineChars="695"/>
        <w:textAlignment w:val="auto"/>
        <w:rPr>
          <w:rFonts w:ascii="仿宋_GB2312" w:eastAsia="仿宋_GB2312"/>
          <w:b/>
          <w:color w:val="000000" w:themeColor="text1"/>
          <w:sz w:val="30"/>
          <w:szCs w:val="30"/>
          <w14:textFill>
            <w14:solidFill>
              <w14:schemeClr w14:val="tx1"/>
            </w14:solidFill>
          </w14:textFill>
        </w:rPr>
      </w:pPr>
    </w:p>
    <w:p>
      <w:pPr>
        <w:keepNext w:val="0"/>
        <w:keepLines w:val="0"/>
        <w:pageBreakBefore w:val="0"/>
        <w:widowControl w:val="0"/>
        <w:kinsoku/>
        <w:wordWrap/>
        <w:overflowPunct/>
        <w:topLinePunct w:val="0"/>
        <w:autoSpaceDE/>
        <w:autoSpaceDN/>
        <w:bidi w:val="0"/>
        <w:spacing w:line="560" w:lineRule="exact"/>
        <w:textAlignment w:val="auto"/>
        <w:rPr>
          <w:rFonts w:ascii="仿宋_GB2312" w:eastAsia="仿宋_GB2312"/>
          <w:b/>
          <w:sz w:val="30"/>
          <w:szCs w:val="30"/>
        </w:rPr>
      </w:pPr>
      <w:r>
        <w:rPr>
          <w:rFonts w:ascii="仿宋_GB2312" w:eastAsia="仿宋_GB2312"/>
          <w:b/>
          <w:sz w:val="30"/>
          <w:szCs w:val="30"/>
        </w:rPr>
        <w:br w:type="page"/>
      </w:r>
    </w:p>
    <w:p>
      <w:pPr>
        <w:wordWrap w:val="0"/>
        <w:adjustRightInd w:val="0"/>
        <w:snapToGrid w:val="0"/>
        <w:spacing w:line="336" w:lineRule="auto"/>
        <w:ind w:firstLine="0"/>
        <w:rPr>
          <w:rFonts w:hint="eastAsia" w:hAnsi="Calibri"/>
          <w:szCs w:val="30"/>
        </w:rPr>
      </w:pPr>
    </w:p>
    <w:p>
      <w:pPr>
        <w:wordWrap w:val="0"/>
        <w:adjustRightInd w:val="0"/>
        <w:snapToGrid w:val="0"/>
        <w:spacing w:line="336" w:lineRule="auto"/>
        <w:ind w:firstLine="4740"/>
        <w:rPr>
          <w:rFonts w:hint="eastAsia" w:ascii="楷体_GB2312" w:eastAsia="楷体_GB2312"/>
          <w:sz w:val="32"/>
          <w:szCs w:val="30"/>
        </w:rPr>
      </w:pPr>
      <w:r>
        <w:rPr>
          <w:rFonts w:hint="eastAsia" w:ascii="楷体_GB2312" w:eastAsia="楷体_GB2312"/>
          <w:sz w:val="32"/>
          <w:szCs w:val="30"/>
        </w:rPr>
        <w:t>合同编号：</w:t>
      </w:r>
      <w:r>
        <w:rPr>
          <w:rFonts w:hint="eastAsia" w:ascii="楷体_GB2312" w:eastAsia="楷体_GB2312"/>
          <w:sz w:val="32"/>
          <w:szCs w:val="30"/>
          <w:u w:val="single"/>
          <w:lang w:val="en-US" w:eastAsia="zh-CN"/>
        </w:rPr>
        <w:t xml:space="preserve">               </w:t>
      </w:r>
      <w:r>
        <w:rPr>
          <w:rFonts w:hint="eastAsia" w:ascii="楷体_GB2312" w:eastAsia="楷体_GB2312"/>
          <w:sz w:val="32"/>
          <w:szCs w:val="30"/>
        </w:rPr>
        <w:t>　　　　　　</w:t>
      </w:r>
    </w:p>
    <w:p>
      <w:pPr>
        <w:tabs>
          <w:tab w:val="left" w:pos="790"/>
        </w:tabs>
        <w:wordWrap w:val="0"/>
        <w:adjustRightInd w:val="0"/>
        <w:snapToGrid w:val="0"/>
        <w:jc w:val="center"/>
        <w:rPr>
          <w:rFonts w:hint="eastAsia" w:ascii="方正小标宋简体" w:hAnsi="宋体" w:eastAsia="方正小标宋简体"/>
          <w:sz w:val="44"/>
          <w:szCs w:val="44"/>
        </w:rPr>
      </w:pPr>
      <w:r>
        <w:rPr>
          <w:rFonts w:hint="eastAsia" w:ascii="方正小标宋简体" w:hAnsi="宋体" w:eastAsia="方正小标宋简体"/>
          <w:sz w:val="44"/>
          <w:szCs w:val="44"/>
          <w:lang w:val="en-US" w:eastAsia="zh-CN"/>
        </w:rPr>
        <w:t>增资扩股</w:t>
      </w:r>
      <w:r>
        <w:rPr>
          <w:rFonts w:hint="eastAsia" w:ascii="方正小标宋简体" w:hAnsi="宋体" w:eastAsia="方正小标宋简体"/>
          <w:sz w:val="44"/>
          <w:szCs w:val="44"/>
        </w:rPr>
        <w:t>合同</w:t>
      </w:r>
    </w:p>
    <w:p>
      <w:pPr>
        <w:snapToGrid w:val="0"/>
        <w:spacing w:line="324" w:lineRule="auto"/>
        <w:ind w:firstLine="0" w:firstLineChars="0"/>
        <w:rPr>
          <w:rFonts w:hint="eastAsia" w:ascii="仿宋_GB2312" w:eastAsia="仿宋_GB2312"/>
          <w:b/>
          <w:sz w:val="36"/>
          <w:szCs w:val="36"/>
        </w:rPr>
      </w:pPr>
    </w:p>
    <w:p>
      <w:pPr>
        <w:snapToGrid w:val="0"/>
        <w:spacing w:line="324" w:lineRule="auto"/>
        <w:ind w:firstLine="0" w:firstLineChars="0"/>
        <w:rPr>
          <w:rFonts w:ascii="仿宋_GB2312" w:eastAsia="仿宋_GB2312"/>
          <w:b/>
          <w:sz w:val="36"/>
          <w:szCs w:val="36"/>
        </w:rPr>
      </w:pPr>
      <w:r>
        <w:rPr>
          <w:rFonts w:hint="eastAsia" w:ascii="仿宋_GB2312" w:eastAsia="仿宋_GB2312"/>
          <w:b/>
          <w:sz w:val="36"/>
          <w:szCs w:val="36"/>
        </w:rPr>
        <w:t>本合同涉及的当事人</w:t>
      </w:r>
    </w:p>
    <w:p>
      <w:pPr>
        <w:snapToGrid w:val="0"/>
        <w:spacing w:line="324" w:lineRule="auto"/>
        <w:ind w:firstLine="585"/>
        <w:jc w:val="center"/>
        <w:rPr>
          <w:rFonts w:ascii="仿宋_GB2312" w:eastAsia="仿宋_GB2312"/>
          <w:b/>
          <w:sz w:val="30"/>
          <w:szCs w:val="30"/>
        </w:rPr>
      </w:pPr>
    </w:p>
    <w:tbl>
      <w:tblPr>
        <w:tblStyle w:val="10"/>
        <w:tblW w:w="8522" w:type="dxa"/>
        <w:tblInd w:w="0" w:type="dxa"/>
        <w:tblLayout w:type="fixed"/>
        <w:tblCellMar>
          <w:top w:w="0" w:type="dxa"/>
          <w:left w:w="108" w:type="dxa"/>
          <w:bottom w:w="0" w:type="dxa"/>
          <w:right w:w="108" w:type="dxa"/>
        </w:tblCellMar>
      </w:tblPr>
      <w:tblGrid>
        <w:gridCol w:w="4410"/>
        <w:gridCol w:w="4112"/>
      </w:tblGrid>
      <w:tr>
        <w:tblPrEx>
          <w:tblCellMar>
            <w:top w:w="0" w:type="dxa"/>
            <w:left w:w="108" w:type="dxa"/>
            <w:bottom w:w="0" w:type="dxa"/>
            <w:right w:w="108" w:type="dxa"/>
          </w:tblCellMar>
        </w:tblPrEx>
        <w:tc>
          <w:tcPr>
            <w:tcW w:w="8522" w:type="dxa"/>
            <w:gridSpan w:val="2"/>
            <w:vAlign w:val="center"/>
          </w:tcPr>
          <w:p>
            <w:pPr>
              <w:snapToGrid w:val="0"/>
              <w:spacing w:line="5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标的企业（以下简称甲方）：</w:t>
            </w:r>
          </w:p>
        </w:tc>
      </w:tr>
      <w:tr>
        <w:tblPrEx>
          <w:tblCellMar>
            <w:top w:w="0" w:type="dxa"/>
            <w:left w:w="108" w:type="dxa"/>
            <w:bottom w:w="0" w:type="dxa"/>
            <w:right w:w="108" w:type="dxa"/>
          </w:tblCellMar>
        </w:tblPrEx>
        <w:tc>
          <w:tcPr>
            <w:tcW w:w="8522" w:type="dxa"/>
            <w:gridSpan w:val="2"/>
            <w:vAlign w:val="center"/>
          </w:tcPr>
          <w:p>
            <w:pPr>
              <w:snapToGrid w:val="0"/>
              <w:spacing w:line="50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名称：</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住所：</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企业类型：</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邮编：</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开户银行：</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账号：</w:t>
            </w:r>
          </w:p>
        </w:tc>
      </w:tr>
      <w:tr>
        <w:tblPrEx>
          <w:tblCellMar>
            <w:top w:w="0" w:type="dxa"/>
            <w:left w:w="108" w:type="dxa"/>
            <w:bottom w:w="0" w:type="dxa"/>
            <w:right w:w="108" w:type="dxa"/>
          </w:tblCellMar>
        </w:tblPrEx>
        <w:tc>
          <w:tcPr>
            <w:tcW w:w="8522" w:type="dxa"/>
            <w:gridSpan w:val="2"/>
            <w:vAlign w:val="center"/>
          </w:tcPr>
          <w:p>
            <w:pPr>
              <w:snapToGrid w:val="0"/>
              <w:spacing w:line="500" w:lineRule="exact"/>
              <w:rPr>
                <w:rFonts w:hint="eastAsia" w:ascii="仿宋_GB2312" w:hAnsi="仿宋_GB2312" w:eastAsia="仿宋_GB2312" w:cs="仿宋_GB2312"/>
                <w:sz w:val="32"/>
                <w:szCs w:val="32"/>
              </w:rPr>
            </w:pPr>
          </w:p>
          <w:p>
            <w:pPr>
              <w:snapToGrid w:val="0"/>
              <w:spacing w:line="5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原股东（以下简称乙方）：</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4112" w:type="dxa"/>
            <w:vAlign w:val="center"/>
          </w:tcPr>
          <w:p>
            <w:pPr>
              <w:snapToGrid w:val="0"/>
              <w:spacing w:line="500" w:lineRule="exact"/>
              <w:rPr>
                <w:rFonts w:hint="eastAsia" w:ascii="仿宋_GB2312" w:hAnsi="仿宋_GB2312" w:eastAsia="仿宋_GB2312" w:cs="仿宋_GB2312"/>
                <w:sz w:val="32"/>
                <w:szCs w:val="32"/>
              </w:rPr>
            </w:pP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住所：</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企业类型：</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邮编：</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开户银行：</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账号：</w:t>
            </w:r>
          </w:p>
        </w:tc>
      </w:tr>
      <w:tr>
        <w:tblPrEx>
          <w:tblCellMar>
            <w:top w:w="0" w:type="dxa"/>
            <w:left w:w="108" w:type="dxa"/>
            <w:bottom w:w="0" w:type="dxa"/>
            <w:right w:w="108" w:type="dxa"/>
          </w:tblCellMar>
        </w:tblPrEx>
        <w:tc>
          <w:tcPr>
            <w:tcW w:w="8522" w:type="dxa"/>
            <w:gridSpan w:val="2"/>
            <w:vAlign w:val="center"/>
          </w:tcPr>
          <w:p>
            <w:pPr>
              <w:tabs>
                <w:tab w:val="left" w:pos="1545"/>
              </w:tabs>
              <w:snapToGrid w:val="0"/>
              <w:spacing w:line="500" w:lineRule="exact"/>
              <w:ind w:firstLine="0"/>
              <w:rPr>
                <w:rFonts w:hint="eastAsia" w:ascii="仿宋_GB2312" w:hAnsi="仿宋_GB2312" w:eastAsia="仿宋_GB2312" w:cs="仿宋_GB2312"/>
                <w:sz w:val="32"/>
                <w:szCs w:val="32"/>
              </w:rPr>
            </w:pPr>
          </w:p>
          <w:p>
            <w:pPr>
              <w:snapToGrid w:val="0"/>
              <w:spacing w:line="5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新增投资方（以下简称丙方）：</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4112" w:type="dxa"/>
            <w:vAlign w:val="center"/>
          </w:tcPr>
          <w:p>
            <w:pPr>
              <w:snapToGrid w:val="0"/>
              <w:spacing w:line="500" w:lineRule="exact"/>
              <w:rPr>
                <w:rFonts w:hint="eastAsia" w:ascii="仿宋_GB2312" w:hAnsi="仿宋_GB2312" w:eastAsia="仿宋_GB2312" w:cs="仿宋_GB2312"/>
                <w:sz w:val="32"/>
                <w:szCs w:val="32"/>
              </w:rPr>
            </w:pP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住所：</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企业类型：</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邮编：</w:t>
            </w:r>
          </w:p>
        </w:tc>
      </w:tr>
      <w:tr>
        <w:tblPrEx>
          <w:tblCellMar>
            <w:top w:w="0" w:type="dxa"/>
            <w:left w:w="108" w:type="dxa"/>
            <w:bottom w:w="0" w:type="dxa"/>
            <w:right w:w="108" w:type="dxa"/>
          </w:tblCellMar>
        </w:tblPrEx>
        <w:tc>
          <w:tcPr>
            <w:tcW w:w="4410"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开户银行：</w:t>
            </w:r>
          </w:p>
        </w:tc>
        <w:tc>
          <w:tcPr>
            <w:tcW w:w="4112" w:type="dxa"/>
            <w:vAlign w:val="center"/>
          </w:tcPr>
          <w:p>
            <w:pPr>
              <w:snapToGrid w:val="0"/>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账号：</w:t>
            </w:r>
          </w:p>
        </w:tc>
      </w:tr>
    </w:tbl>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仿宋_GB2312" w:hAnsi="仿宋_GB2312" w:eastAsia="仿宋_GB2312" w:cs="仿宋_GB2312"/>
          <w:b/>
          <w:bCs/>
          <w:sz w:val="32"/>
          <w:szCs w:val="32"/>
        </w:rPr>
        <w:t>鉴于：</w:t>
      </w:r>
      <w:r>
        <w:rPr>
          <w:rFonts w:hint="eastAsia" w:ascii="仿宋_GB2312" w:hAnsi="仿宋_GB2312" w:eastAsia="仿宋_GB2312" w:cs="仿宋_GB2312"/>
          <w:b/>
          <w:bCs/>
          <w:sz w:val="32"/>
          <w:szCs w:val="32"/>
        </w:rPr>
        <w:tab/>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甲方是一家依照中华人民共和国法律于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注册成立并合法存续的公司，截至本协议签署之日，注册资本为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p>
    <w:p>
      <w:pPr>
        <w:spacing w:line="600" w:lineRule="exact"/>
        <w:ind w:firstLine="47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为增强公司实力，甲方与乙方均希望通过长沙联合产权交易所有限公司引进新投资方。经</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年度标的企业第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次股东会决议，通过了增资扩股决议</w:t>
      </w:r>
      <w:r>
        <w:rPr>
          <w:rFonts w:hint="eastAsia" w:ascii="仿宋_GB2312" w:hAnsi="仿宋_GB2312" w:eastAsia="仿宋_GB2312" w:cs="仿宋_GB2312"/>
          <w:sz w:val="32"/>
          <w:szCs w:val="32"/>
          <w:lang w:eastAsia="zh-CN"/>
        </w:rPr>
        <w:t>。</w:t>
      </w:r>
    </w:p>
    <w:p>
      <w:pPr>
        <w:spacing w:line="600" w:lineRule="exact"/>
        <w:ind w:firstLine="472"/>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乙方同意并确认放弃对新增注册资本认缴出资的优先权，甲方、乙方同意丙方向甲方增资，扩大甲方注册资本至</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34"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丙方系在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工商行政管理局依法登记成立，注册资金为人民币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万元的有限责任公司，有意向对甲方投资，并参与甲方的经营管理，且丙方股东会已通过向甲方投资的决议。</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经长沙联合产权交易所有限公司组织鉴证，丙方同意以</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投资甲方，持有增资后甲方注册资本的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，成为甲方新增股东。</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w:t>
      </w:r>
      <w:r>
        <w:rPr>
          <w:rFonts w:hint="eastAsia" w:ascii="仿宋_GB2312" w:hAnsi="仿宋_GB2312" w:eastAsia="仿宋_GB2312" w:cs="仿宋_GB2312"/>
          <w:sz w:val="32"/>
          <w:szCs w:val="32"/>
          <w:lang w:eastAsia="zh-CN"/>
        </w:rPr>
        <w:t>民法典</w:t>
      </w:r>
      <w:r>
        <w:rPr>
          <w:rFonts w:hint="eastAsia" w:ascii="仿宋_GB2312" w:hAnsi="仿宋_GB2312" w:eastAsia="仿宋_GB2312" w:cs="仿宋_GB2312"/>
          <w:sz w:val="32"/>
          <w:szCs w:val="32"/>
        </w:rPr>
        <w:t>》、《中华人民共和国公司法》等法律法规的规定，本着自愿平等、诚实信用的原则，签订本增资扩股合同，以资各方共同遵守。</w:t>
      </w:r>
    </w:p>
    <w:p>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第一条  增资扩股方案</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12"/>
          <w:sz w:val="32"/>
          <w:szCs w:val="32"/>
        </w:rPr>
        <w:t xml:space="preserve"> 1</w:t>
      </w:r>
      <w:r>
        <w:rPr>
          <w:rFonts w:hint="eastAsia" w:ascii="仿宋_GB2312" w:hAnsi="仿宋_GB2312" w:eastAsia="仿宋_GB2312" w:cs="仿宋_GB2312"/>
          <w:spacing w:val="12"/>
          <w:sz w:val="32"/>
          <w:szCs w:val="32"/>
          <w:lang w:val="en-US" w:eastAsia="zh-CN"/>
        </w:rPr>
        <w:t>.</w:t>
      </w:r>
      <w:r>
        <w:rPr>
          <w:rFonts w:hint="eastAsia" w:ascii="仿宋_GB2312" w:hAnsi="仿宋_GB2312" w:eastAsia="仿宋_GB2312" w:cs="仿宋_GB2312"/>
          <w:spacing w:val="12"/>
          <w:sz w:val="32"/>
          <w:szCs w:val="32"/>
        </w:rPr>
        <w:t>甲方进行增资扩股，将公司注册资本由人民币</w:t>
      </w:r>
      <w:r>
        <w:rPr>
          <w:rFonts w:hint="eastAsia" w:ascii="仿宋_GB2312" w:hAnsi="仿宋_GB2312" w:eastAsia="仿宋_GB2312" w:cs="仿宋_GB2312"/>
          <w:spacing w:val="12"/>
          <w:sz w:val="32"/>
          <w:szCs w:val="32"/>
          <w:u w:val="single"/>
        </w:rPr>
        <w:t xml:space="preserve">        </w:t>
      </w:r>
      <w:r>
        <w:rPr>
          <w:rFonts w:hint="eastAsia" w:ascii="仿宋_GB2312" w:hAnsi="仿宋_GB2312" w:eastAsia="仿宋_GB2312" w:cs="仿宋_GB2312"/>
          <w:spacing w:val="12"/>
          <w:sz w:val="32"/>
          <w:szCs w:val="32"/>
        </w:rPr>
        <w:t>万元</w:t>
      </w:r>
      <w:r>
        <w:rPr>
          <w:rFonts w:hint="eastAsia" w:ascii="仿宋_GB2312" w:hAnsi="仿宋_GB2312" w:eastAsia="仿宋_GB2312" w:cs="仿宋_GB2312"/>
          <w:spacing w:val="19"/>
          <w:sz w:val="32"/>
          <w:szCs w:val="32"/>
        </w:rPr>
        <w:t>增加至</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万元，丙方合计出资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万元，占增资后甲方注册资本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％；实际投资总额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万元，溢价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万元，溢价将计入新公司资本公积。</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本次增资扩股前，甲方股权结构为：</w:t>
      </w:r>
      <w:r>
        <w:rPr>
          <w:rFonts w:hint="eastAsia" w:ascii="仿宋_GB2312" w:hAnsi="仿宋_GB2312" w:eastAsia="仿宋_GB2312" w:cs="仿宋_GB2312"/>
          <w:sz w:val="32"/>
          <w:szCs w:val="32"/>
          <w:u w:val="single"/>
        </w:rPr>
        <w:t xml:space="preserve">                                         </w:t>
      </w:r>
    </w:p>
    <w:p>
      <w:pPr>
        <w:spacing w:line="60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增资扩股完成后，甲方股权结构为：</w:t>
      </w:r>
      <w:r>
        <w:rPr>
          <w:rFonts w:hint="eastAsia" w:ascii="仿宋_GB2312" w:hAnsi="仿宋_GB2312" w:eastAsia="仿宋_GB2312" w:cs="仿宋_GB2312"/>
          <w:sz w:val="32"/>
          <w:szCs w:val="32"/>
          <w:u w:val="single"/>
        </w:rPr>
        <w:t xml:space="preserve">                                           </w:t>
      </w:r>
    </w:p>
    <w:p>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第二条  增资扩股依据</w:t>
      </w:r>
    </w:p>
    <w:p>
      <w:pPr>
        <w:spacing w:line="600" w:lineRule="exact"/>
        <w:ind w:firstLine="634"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各方同意甲方以</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日经审计净资产</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万元；或</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日经备案资产评估值</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万元；或</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日经认可估值报告记载数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万元作为本次增资作价依据。</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各方同意丙方以货币或（和）非货币对甲方出资。其中，非货币出资以</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评估（估值）报告为本次增资扩股依据。具体如下:</w:t>
      </w:r>
    </w:p>
    <w:p>
      <w:pPr>
        <w:spacing w:line="600" w:lineRule="exact"/>
        <w:ind w:firstLine="634"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货币出资：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非货币出资为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万元，评估（估值）报告为（估值机构和报告编号）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，评估（估值）基准日为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日，资产评估值（估值）为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p>
    <w:p>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 xml:space="preserve"> 第三条  增资扩股的支付</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丙方</w:t>
      </w:r>
      <w:r>
        <w:rPr>
          <w:rFonts w:hint="eastAsia" w:ascii="仿宋_GB2312" w:hAnsi="仿宋_GB2312" w:eastAsia="仿宋_GB2312" w:cs="仿宋_GB2312"/>
          <w:sz w:val="32"/>
          <w:szCs w:val="32"/>
        </w:rPr>
        <w:t>已支付至长沙联交所的保证金计人民币（小写）　　　万元【即人民币（大写）</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万元】，在本合同生效后直接转为本次产权交易部分价款。</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甲、乙双方约定按照以下第</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种方式支付价款：</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一次性付款。除</w:t>
      </w:r>
      <w:r>
        <w:rPr>
          <w:rFonts w:hint="eastAsia" w:ascii="仿宋_GB2312" w:hAnsi="仿宋_GB2312" w:eastAsia="仿宋_GB2312" w:cs="仿宋_GB2312"/>
          <w:sz w:val="32"/>
          <w:szCs w:val="32"/>
          <w:lang w:val="en-US" w:eastAsia="zh-CN"/>
        </w:rPr>
        <w:t>第三条第1款</w:t>
      </w:r>
      <w:r>
        <w:rPr>
          <w:rFonts w:hint="eastAsia" w:ascii="仿宋_GB2312" w:hAnsi="仿宋_GB2312" w:eastAsia="仿宋_GB2312" w:cs="仿宋_GB2312"/>
          <w:sz w:val="32"/>
          <w:szCs w:val="32"/>
        </w:rPr>
        <w:t>中保证金直接转为本次产权交易部分价款外，乙方应在本合同生效次日起　　个工作日内，将其余的产权交易价款人民币（小写）</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万元【即人民币（大写）</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万元】一次性支付至长沙联交所指定银行账户（账户名称</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，账号</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，开户行</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分期付款。首期价款（含保证金）为乙方应支付的本次产权交易价款总额的　　％（不低于30％），计人民币（小写）　　　　　万元【即人民币（大写）</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万元】，乙方应在本合同生效之日起5个工作日内支付至长沙联交所指定银行账户（账户名称</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，账号</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，开户行</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）；其余价款人民币（小写）</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万元【即人民币（大写）　　　　　　　　万元】，乙方以</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（保证、抵押、质押等）方式提供担保（具体另附担保合同），并按同期银行贷款利率向甲方支付延期付款期间的利息，且在</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i w:val="0"/>
          <w:iCs w:val="0"/>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日（不超过合同生效后1年）前付清。</w:t>
      </w:r>
    </w:p>
    <w:p>
      <w:pPr>
        <w:numPr>
          <w:ilvl w:val="-1"/>
          <w:numId w:val="0"/>
        </w:num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甲方须在配合乙方进行</w:t>
      </w:r>
      <w:r>
        <w:rPr>
          <w:rFonts w:hint="eastAsia" w:ascii="仿宋_GB2312" w:hAnsi="仿宋_GB2312" w:eastAsia="仿宋_GB2312" w:cs="仿宋_GB2312"/>
          <w:sz w:val="32"/>
          <w:szCs w:val="32"/>
          <w:lang w:val="en-US" w:eastAsia="zh-CN"/>
        </w:rPr>
        <w:t>工商变更登记</w:t>
      </w:r>
      <w:r>
        <w:rPr>
          <w:rFonts w:hint="eastAsia" w:ascii="仿宋_GB2312" w:hAnsi="仿宋_GB2312" w:eastAsia="仿宋_GB2312" w:cs="仿宋_GB2312"/>
          <w:sz w:val="32"/>
          <w:szCs w:val="32"/>
        </w:rPr>
        <w:t xml:space="preserve">后，方可向长沙联交所就乙方已支付款项提出拨付转让价款的申请。 转让价款通过长沙联交所指定的资金结算账户统一无息结算。   </w:t>
      </w:r>
    </w:p>
    <w:p>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 xml:space="preserve"> 第四条  增资扩股涉及的企业职工安置</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各方协商约定，采用如下方式处理：</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（本合同所涉及企业职工安置的，约定必须符合有关法律法规规定的条件和程序，与甲方公司职工安置方案一致。对情况复杂的也可另立合同附件予以载明。）</w:t>
      </w:r>
    </w:p>
    <w:p>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第五条  增资扩股的税收和费用</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增资扩股中涉及的有关税收，按照国家有关法律规定缴纳。</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增资扩股中涉及的有关费用，经各方当事人共同协商约定，由</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方（或各共同承担）支付。</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（亦可针对支付的具体税收和费用进行详细约定。）</w:t>
      </w:r>
    </w:p>
    <w:p>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第六条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增资扩股期间损益处理</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各方同意，甲方评估（估值）基准日至本合同生效日期间的损益由增资前全体股东增资后全体股东享有或承担。</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bCs w:val="0"/>
          <w:sz w:val="32"/>
          <w:szCs w:val="32"/>
        </w:rPr>
        <w:t xml:space="preserve">   第</w:t>
      </w:r>
      <w:r>
        <w:rPr>
          <w:rFonts w:hint="eastAsia" w:ascii="仿宋_GB2312" w:hAnsi="仿宋_GB2312" w:eastAsia="仿宋_GB2312" w:cs="仿宋_GB2312"/>
          <w:b/>
          <w:bCs w:val="0"/>
          <w:sz w:val="32"/>
          <w:szCs w:val="32"/>
          <w:lang w:val="en-US" w:eastAsia="zh-CN"/>
        </w:rPr>
        <w:t>七</w:t>
      </w:r>
      <w:r>
        <w:rPr>
          <w:rFonts w:hint="eastAsia" w:ascii="仿宋_GB2312" w:hAnsi="仿宋_GB2312" w:eastAsia="仿宋_GB2312" w:cs="仿宋_GB2312"/>
          <w:b/>
          <w:bCs w:val="0"/>
          <w:sz w:val="32"/>
          <w:szCs w:val="32"/>
        </w:rPr>
        <w:t>条  增资后的经营范围</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继承和发展</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目前经营的全部业务。</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大力发展新业务。</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3.甲方</w:t>
      </w:r>
      <w:r>
        <w:rPr>
          <w:rFonts w:hint="eastAsia" w:ascii="仿宋_GB2312" w:hAnsi="仿宋_GB2312" w:eastAsia="仿宋_GB2312" w:cs="仿宋_GB2312"/>
          <w:sz w:val="32"/>
          <w:szCs w:val="32"/>
        </w:rPr>
        <w:t>最终的经营范围由</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股东会决定，经工商行政管理部门核准后确定。</w:t>
      </w:r>
    </w:p>
    <w:p>
      <w:pPr>
        <w:spacing w:line="600" w:lineRule="exact"/>
        <w:ind w:firstLine="634"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条  新增资金的投向和使用及后续发展</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本次新增资金用</w:t>
      </w:r>
      <w:r>
        <w:rPr>
          <w:rFonts w:hint="eastAsia" w:ascii="仿宋_GB2312" w:hAnsi="仿宋_GB2312" w:eastAsia="仿宋_GB2312" w:cs="仿宋_GB2312"/>
          <w:sz w:val="32"/>
          <w:szCs w:val="32"/>
          <w:lang w:val="en-US" w:eastAsia="zh-CN"/>
        </w:rPr>
        <w:t>于甲方</w:t>
      </w:r>
      <w:r>
        <w:rPr>
          <w:rFonts w:hint="eastAsia" w:ascii="仿宋_GB2312" w:hAnsi="仿宋_GB2312" w:eastAsia="仿宋_GB2312" w:cs="仿宋_GB2312"/>
          <w:sz w:val="32"/>
          <w:szCs w:val="32"/>
        </w:rPr>
        <w:t>的全面发展。</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2.甲方</w:t>
      </w:r>
      <w:r>
        <w:rPr>
          <w:rFonts w:hint="eastAsia" w:ascii="仿宋_GB2312" w:hAnsi="仿宋_GB2312" w:eastAsia="仿宋_GB2312" w:cs="仿宋_GB2312"/>
          <w:sz w:val="32"/>
          <w:szCs w:val="32"/>
        </w:rPr>
        <w:t>资金具体使用权限由经过工商变更登记之后的</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股东会授权董事会或董事会授权经理班子依照公司章程等相关制度执行。</w:t>
      </w:r>
    </w:p>
    <w:p>
      <w:pPr>
        <w:spacing w:line="600" w:lineRule="exact"/>
        <w:ind w:firstLine="634"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rPr>
        <w:t>条 公司的组织机构安排</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股东会</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增资后，</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与</w:t>
      </w:r>
      <w:r>
        <w:rPr>
          <w:rFonts w:hint="eastAsia" w:ascii="仿宋_GB2312" w:hAnsi="仿宋_GB2312" w:eastAsia="仿宋_GB2312" w:cs="仿宋_GB2312"/>
          <w:sz w:val="32"/>
          <w:szCs w:val="32"/>
          <w:lang w:val="en-US" w:eastAsia="zh-CN"/>
        </w:rPr>
        <w:t>丙</w:t>
      </w:r>
      <w:r>
        <w:rPr>
          <w:rFonts w:hint="eastAsia" w:ascii="仿宋_GB2312" w:hAnsi="仿宋_GB2312" w:eastAsia="仿宋_GB2312" w:cs="仿宋_GB2312"/>
          <w:sz w:val="32"/>
          <w:szCs w:val="32"/>
        </w:rPr>
        <w:t>方平等成为</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的股东，所有股东依照《中华人民共和国公司法》以及其他法律法规、部门规章的规定按其出资比例享有权利、承担义务。</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股东会为</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权力机关，对</w:t>
      </w:r>
      <w:r>
        <w:rPr>
          <w:rFonts w:hint="eastAsia" w:ascii="仿宋_GB2312" w:hAnsi="仿宋_GB2312" w:eastAsia="仿宋_GB2312" w:cs="仿宋_GB2312"/>
          <w:sz w:val="32"/>
          <w:szCs w:val="32"/>
          <w:lang w:val="en-US" w:eastAsia="zh-CN"/>
        </w:rPr>
        <w:t>其</w:t>
      </w:r>
      <w:r>
        <w:rPr>
          <w:rFonts w:hint="eastAsia" w:ascii="仿宋_GB2312" w:hAnsi="仿宋_GB2312" w:eastAsia="仿宋_GB2312" w:cs="仿宋_GB2312"/>
          <w:sz w:val="32"/>
          <w:szCs w:val="32"/>
        </w:rPr>
        <w:t>一切重大事务作出决定。</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股东会决定的重大事项，经</w:t>
      </w:r>
      <w:r>
        <w:rPr>
          <w:rFonts w:hint="eastAsia" w:ascii="仿宋_GB2312" w:hAnsi="仿宋_GB2312" w:eastAsia="仿宋_GB2312" w:cs="仿宋_GB2312"/>
          <w:sz w:val="32"/>
          <w:szCs w:val="32"/>
          <w:lang w:val="en-US" w:eastAsia="zh-CN"/>
        </w:rPr>
        <w:t>其</w:t>
      </w:r>
      <w:r>
        <w:rPr>
          <w:rFonts w:hint="eastAsia" w:ascii="仿宋_GB2312" w:hAnsi="仿宋_GB2312" w:eastAsia="仿宋_GB2312" w:cs="仿宋_GB2312"/>
          <w:sz w:val="32"/>
          <w:szCs w:val="32"/>
        </w:rPr>
        <w:t>持有股权比例2/3以上的股东通过方能生效，有关重大事项由公司章程进行规定。</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董事会和管理人员</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增资后公司董事会成员应进行调整，由公司股东按章程规定和协议约定进行选派。</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董事会由</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名董事组成，其中</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选派</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名董事，</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选派</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名董事。</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增资后</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董事长和财务总监由</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委派的人选担任，其他高级经营管理人员可由</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推荐，总经理职位由</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推荐，常务副总经理由</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推荐，董事会聘用。</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公司董事会决定的事项，经公司董事会过半数通过方能生效，公司董事会通过的事项由公司章程进行规定。</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监事会</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增资后监事会由</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名监事组成，由股东会选聘和解聘，其中</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选派</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选派</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名。 </w:t>
      </w:r>
    </w:p>
    <w:p>
      <w:pPr>
        <w:spacing w:line="600" w:lineRule="exact"/>
        <w:ind w:firstLine="634"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十</w:t>
      </w:r>
      <w:r>
        <w:rPr>
          <w:rFonts w:hint="eastAsia" w:ascii="仿宋_GB2312" w:hAnsi="仿宋_GB2312" w:eastAsia="仿宋_GB2312" w:cs="仿宋_GB2312"/>
          <w:b/>
          <w:bCs/>
          <w:sz w:val="32"/>
          <w:szCs w:val="32"/>
        </w:rPr>
        <w:t>条 公司章程</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增资各方依照本协议约定缴纳第一次出资后，</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日内召开股东会，修改</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公司章程，经修订的章程将替代</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原章程。</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本协议约定的重要内容写入</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的章程。</w:t>
      </w:r>
    </w:p>
    <w:p>
      <w:pPr>
        <w:spacing w:line="600" w:lineRule="exact"/>
        <w:ind w:firstLine="634"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十一</w:t>
      </w:r>
      <w:r>
        <w:rPr>
          <w:rFonts w:hint="eastAsia" w:ascii="仿宋_GB2312" w:hAnsi="仿宋_GB2312" w:eastAsia="仿宋_GB2312" w:cs="仿宋_GB2312"/>
          <w:b/>
          <w:bCs/>
          <w:sz w:val="32"/>
          <w:szCs w:val="32"/>
        </w:rPr>
        <w:t>条  公司注册登记的变更</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1.甲方</w:t>
      </w:r>
      <w:r>
        <w:rPr>
          <w:rFonts w:hint="eastAsia" w:ascii="仿宋_GB2312" w:hAnsi="仿宋_GB2312" w:eastAsia="仿宋_GB2312" w:cs="仿宋_GB2312"/>
          <w:sz w:val="32"/>
          <w:szCs w:val="32"/>
        </w:rPr>
        <w:t>召开股东会，作出相应决议后</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日内由</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董事会向工商行政管理主管部门申请工商变更登记。</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各股东应全力协助、配合</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完成工商变更登记。</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如</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缴纳全部认购资金之日起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个工作日内仍未完成工商变更登记，则</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有权解除本协议。一旦协议解除，</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应负责将</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 xml:space="preserve">缴纳的全部资金及利息（利息按照银行同期存款利率计算）返还甲方并对此返还款项的义务承担连带责任。 </w:t>
      </w:r>
    </w:p>
    <w:p>
      <w:pPr>
        <w:spacing w:line="60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其他需要说明的事项。</w:t>
      </w:r>
    </w:p>
    <w:p>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第</w:t>
      </w:r>
      <w:r>
        <w:rPr>
          <w:rFonts w:hint="eastAsia" w:ascii="仿宋_GB2312" w:hAnsi="仿宋_GB2312" w:eastAsia="仿宋_GB2312" w:cs="仿宋_GB2312"/>
          <w:b/>
          <w:sz w:val="32"/>
          <w:szCs w:val="32"/>
          <w:lang w:val="en-US" w:eastAsia="zh-CN"/>
        </w:rPr>
        <w:t>十二</w:t>
      </w:r>
      <w:r>
        <w:rPr>
          <w:rFonts w:hint="eastAsia" w:ascii="仿宋_GB2312" w:hAnsi="仿宋_GB2312" w:eastAsia="仿宋_GB2312" w:cs="仿宋_GB2312"/>
          <w:b/>
          <w:sz w:val="32"/>
          <w:szCs w:val="32"/>
        </w:rPr>
        <w:t>条  各方的陈述和承诺</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1.甲方、乙方</w:t>
      </w:r>
      <w:r>
        <w:rPr>
          <w:rFonts w:hint="eastAsia" w:ascii="仿宋_GB2312" w:hAnsi="仿宋_GB2312" w:eastAsia="仿宋_GB2312" w:cs="仿宋_GB2312"/>
          <w:sz w:val="32"/>
          <w:szCs w:val="32"/>
        </w:rPr>
        <w:t>陈述与保证如下：</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是按中国法律注册、合法存续并经营的有限责任公司；</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现有名称、商誉、商标等相关权益归增资后的公司独占排他所有；</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在其所拥有的任何财产向外未设置任何担保权益（包括但不限于任何抵押权、质押权、留置权以及其它担保权等）或第三者权益；</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对用于公司业务经营的资产与资源，均通过合法协议和其他合法行为取得，真实、有效、完整，不存在任何法律障碍或法律瑕疵；</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（5）向</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提交了</w:t>
      </w:r>
      <w:r>
        <w:rPr>
          <w:rFonts w:hint="eastAsia" w:ascii="仿宋_GB2312" w:hAnsi="仿宋_GB2312" w:eastAsia="仿宋_GB2312" w:cs="仿宋_GB2312"/>
          <w:sz w:val="32"/>
          <w:szCs w:val="32"/>
          <w:u w:val="single"/>
        </w:rPr>
        <w:t xml:space="preserve">      年      月至      月</w:t>
      </w:r>
      <w:r>
        <w:rPr>
          <w:rFonts w:hint="eastAsia" w:ascii="仿宋_GB2312" w:hAnsi="仿宋_GB2312" w:eastAsia="仿宋_GB2312" w:cs="仿宋_GB2312"/>
          <w:sz w:val="32"/>
          <w:szCs w:val="32"/>
        </w:rPr>
        <w:t>的财务报表（下称“财务报表”）（见附件清单），</w:t>
      </w:r>
      <w:r>
        <w:rPr>
          <w:rFonts w:hint="eastAsia" w:ascii="仿宋_GB2312" w:hAnsi="仿宋_GB2312" w:eastAsia="仿宋_GB2312" w:cs="仿宋_GB2312"/>
          <w:sz w:val="32"/>
          <w:szCs w:val="32"/>
          <w:lang w:val="en-US" w:eastAsia="zh-CN"/>
        </w:rPr>
        <w:t>甲方、乙方</w:t>
      </w:r>
      <w:r>
        <w:rPr>
          <w:rFonts w:hint="eastAsia" w:ascii="仿宋_GB2312" w:hAnsi="仿宋_GB2312" w:eastAsia="仿宋_GB2312" w:cs="仿宋_GB2312"/>
          <w:sz w:val="32"/>
          <w:szCs w:val="32"/>
        </w:rPr>
        <w:t>在此确认该财务报表正确反映了公司至</w:t>
      </w:r>
      <w:r>
        <w:rPr>
          <w:rFonts w:hint="eastAsia" w:ascii="仿宋_GB2312" w:hAnsi="仿宋_GB2312" w:eastAsia="仿宋_GB2312" w:cs="仿宋_GB2312"/>
          <w:sz w:val="32"/>
          <w:szCs w:val="32"/>
          <w:u w:val="single"/>
        </w:rPr>
        <w:t xml:space="preserve">      年      月      日</w:t>
      </w:r>
      <w:r>
        <w:rPr>
          <w:rFonts w:hint="eastAsia" w:ascii="仿宋_GB2312" w:hAnsi="仿宋_GB2312" w:eastAsia="仿宋_GB2312" w:cs="仿宋_GB2312"/>
          <w:sz w:val="32"/>
          <w:szCs w:val="32"/>
        </w:rPr>
        <w:t>止的财务状况；除财务报表列明的公司至</w:t>
      </w:r>
      <w:r>
        <w:rPr>
          <w:rFonts w:hint="eastAsia" w:ascii="仿宋_GB2312" w:hAnsi="仿宋_GB2312" w:eastAsia="仿宋_GB2312" w:cs="仿宋_GB2312"/>
          <w:sz w:val="32"/>
          <w:szCs w:val="32"/>
          <w:u w:val="single"/>
        </w:rPr>
        <w:t xml:space="preserve">      年      月      日</w:t>
      </w:r>
      <w:r>
        <w:rPr>
          <w:rFonts w:hint="eastAsia" w:ascii="仿宋_GB2312" w:hAnsi="仿宋_GB2312" w:eastAsia="仿宋_GB2312" w:cs="仿宋_GB2312"/>
          <w:sz w:val="32"/>
          <w:szCs w:val="32"/>
        </w:rPr>
        <w:t>止的所有债务、欠款和欠税外，</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没有产生其他任何债务、欠款和欠税；</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（6）向</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提交的所有文件（见附件清单）真实、有效、完整，并如实反映了</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及现有股东的情况；</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（7）没有从事或参与有可能导致</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现在和将来遭受吊销营业执照、罚款或其它严重影响经营的行政处罚或法律制裁的任何违反中国法律、法规的行为；</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（8）未就任何与其有关的、已结束的、尚未结束的或可能将要开始的任何诉讼、仲裁、调查及行政程序对</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进行隐瞒或进行虚假/错误陈述；</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（10）增资扩股在工商变更登记完成之前公司产生的一切劳动纠纷、经济及法律责任由</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承担；</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（11）增资扩股前公司所有债权、债务由</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承担，并向甲方出具承诺书。增资扩股前固定资产（见附件清单）在增资扩股后纳入公司资产，增资扩股前其余资产相关权利和义务由</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负责。</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（12）本协议经</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签署后即构成对</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合法、有效和有约束力的义务。</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）其有完全的民事权利能力和民事行为能力参与、订立及执行本合同，或具有签署与履行本合同所需的一切必要</w:t>
      </w:r>
      <w:r>
        <w:rPr>
          <w:rFonts w:hint="eastAsia" w:ascii="仿宋_GB2312" w:hAnsi="仿宋_GB2312" w:eastAsia="仿宋_GB2312" w:cs="仿宋_GB2312"/>
          <w:sz w:val="32"/>
          <w:szCs w:val="32"/>
          <w:lang w:val="en-US" w:eastAsia="zh-CN"/>
        </w:rPr>
        <w:t>权利</w:t>
      </w:r>
      <w:r>
        <w:rPr>
          <w:rFonts w:hint="eastAsia" w:ascii="仿宋_GB2312" w:hAnsi="仿宋_GB2312" w:eastAsia="仿宋_GB2312" w:cs="仿宋_GB2312"/>
          <w:sz w:val="32"/>
          <w:szCs w:val="32"/>
        </w:rPr>
        <w:t>与授权，并且直至本合同所述增资扩股完成，仍将持续具有充分履行其在本合同项下各项义务的一切必要</w:t>
      </w:r>
      <w:r>
        <w:rPr>
          <w:rFonts w:hint="eastAsia" w:ascii="仿宋_GB2312" w:hAnsi="仿宋_GB2312" w:eastAsia="仿宋_GB2312" w:cs="仿宋_GB2312"/>
          <w:sz w:val="32"/>
          <w:szCs w:val="32"/>
          <w:lang w:val="en-US" w:eastAsia="zh-CN"/>
        </w:rPr>
        <w:t>权利</w:t>
      </w:r>
      <w:r>
        <w:rPr>
          <w:rFonts w:hint="eastAsia" w:ascii="仿宋_GB2312" w:hAnsi="仿宋_GB2312" w:eastAsia="仿宋_GB2312" w:cs="仿宋_GB2312"/>
          <w:sz w:val="32"/>
          <w:szCs w:val="32"/>
        </w:rPr>
        <w:t>与授权；</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）签署本合同并履行本合同项下的各项义务并不会侵犯任何第三方的权利。</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除非获得新增股东的书面同意，</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承诺自本协议签订之日起至工商变更登记完成之日止的期间:</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（1）确保</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的业务正常进行并不会作出任何对</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存在重大影响的行动。</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将采取所有合理措施维护</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的商誉，不会做出任何可能损害</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 xml:space="preserve">的行为。 </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不会签订任何超出其正常业务范围或具有重大意义的协议或承诺。</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不得采取下列行动：</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a</w:t>
      </w:r>
      <w:r>
        <w:rPr>
          <w:rFonts w:hint="eastAsia" w:ascii="仿宋_GB2312" w:hAnsi="仿宋_GB2312" w:eastAsia="仿宋_GB2312" w:cs="仿宋_GB2312"/>
          <w:sz w:val="32"/>
          <w:szCs w:val="32"/>
        </w:rPr>
        <w:t>）进行任何事项将不利于</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的财政状况及业务发展。</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（b）非经审批机关要求而更改其业务的性质及范围；</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（c）出售、转让、出租、许可或处置任何</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业务、财产或资产的任何重要部</w:t>
      </w:r>
      <w:r>
        <w:rPr>
          <w:rFonts w:hint="eastAsia" w:ascii="仿宋_GB2312" w:hAnsi="仿宋_GB2312" w:eastAsia="仿宋_GB2312" w:cs="仿宋_GB2312"/>
          <w:sz w:val="32"/>
          <w:szCs w:val="32"/>
          <w:lang w:val="en-US" w:eastAsia="zh-CN"/>
        </w:rPr>
        <w:t>分</w:t>
      </w:r>
      <w:r>
        <w:rPr>
          <w:rFonts w:hint="eastAsia" w:ascii="仿宋_GB2312" w:hAnsi="仿宋_GB2312" w:eastAsia="仿宋_GB2312" w:cs="仿宋_GB2312"/>
          <w:sz w:val="32"/>
          <w:szCs w:val="32"/>
        </w:rPr>
        <w:t>；</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（d）与任何人订立任何劳动或顾问合同，或对任何雇员或顾问的聘用条件作出任何修改；</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（e）给予任何第三方任何担保、抵押、赔偿、保证或类似责任的安排；</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（f）订立任何贷款协议或修定任何借贷文件；</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（g）购买、出租、收购任何资产的价格超过人民币5万元（或其它等值货币）；</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（h）订立任何重大合同或给予重大承诺，支付任何管理费或其它费用超过人民币5万元；</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（i）与任何第三人订立任何合作经营、合伙经营或利润分配协议；</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（j）出租或同意出租或以任何形式放弃</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拥有或使用的物业的全部或部</w:t>
      </w:r>
      <w:r>
        <w:rPr>
          <w:rFonts w:hint="eastAsia" w:ascii="仿宋_GB2312" w:hAnsi="仿宋_GB2312" w:eastAsia="仿宋_GB2312" w:cs="仿宋_GB2312"/>
          <w:sz w:val="32"/>
          <w:szCs w:val="32"/>
          <w:lang w:val="en-US" w:eastAsia="zh-CN"/>
        </w:rPr>
        <w:t>分</w:t>
      </w:r>
      <w:r>
        <w:rPr>
          <w:rFonts w:hint="eastAsia" w:ascii="仿宋_GB2312" w:hAnsi="仿宋_GB2312" w:eastAsia="仿宋_GB2312" w:cs="仿宋_GB2312"/>
          <w:sz w:val="32"/>
          <w:szCs w:val="32"/>
        </w:rPr>
        <w:t>使用权或拥有权；</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保证采取一切必要的行动,协助</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完成本协议下所有审批及变更登记手续。</w:t>
      </w:r>
    </w:p>
    <w:p>
      <w:pPr>
        <w:spacing w:line="600" w:lineRule="exact"/>
        <w:ind w:firstLine="317"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承担由于违反上述陈述和保证而产生的一切经济责任和法律责任，并对由于违反上述陈述与保证而给</w:t>
      </w:r>
      <w:r>
        <w:rPr>
          <w:rFonts w:hint="eastAsia" w:ascii="仿宋_GB2312" w:hAnsi="仿宋_GB2312" w:eastAsia="仿宋_GB2312" w:cs="仿宋_GB2312"/>
          <w:sz w:val="32"/>
          <w:szCs w:val="32"/>
          <w:lang w:val="en-US" w:eastAsia="zh-CN"/>
        </w:rPr>
        <w:t>丙方</w:t>
      </w:r>
      <w:r>
        <w:rPr>
          <w:rFonts w:hint="eastAsia" w:ascii="仿宋_GB2312" w:hAnsi="仿宋_GB2312" w:eastAsia="仿宋_GB2312" w:cs="仿宋_GB2312"/>
          <w:sz w:val="32"/>
          <w:szCs w:val="32"/>
        </w:rPr>
        <w:t>造成的任何损失承担无限连带赔偿责任。</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本合同任何一方向本合同其他各方做出承诺和保证如下：</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（1）本合同一经签署即对其构成合法、有效、具有约束力的合同；</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（2）其在合同内的陈述以及承诺的内容均是真实、完整且无误导性的。</w:t>
      </w:r>
    </w:p>
    <w:p>
      <w:pPr>
        <w:spacing w:line="600" w:lineRule="exact"/>
        <w:ind w:firstLine="634"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本合同签署后，确保不再不继续使用国家出资企业及其子企业字号、经营资质和特许经营权等无形资产，不继续以国家出资企业子企业名义开展经营活动，并在获得长沙联合产权交易所出具的产权交易凭证后</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个工作日内，办理甲方的名称、字号、经营资质和特许经营权等无形资产的变更、注销等登记。</w:t>
      </w:r>
    </w:p>
    <w:p>
      <w:pPr>
        <w:spacing w:line="600" w:lineRule="exact"/>
        <w:ind w:firstLine="317" w:firstLineChars="1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（本款适用于标的企业存在使用乙方所属国家出资企业及其各级子企业字号、经营资质和特许经营权等无形资产，且因本次增资扩股导致国家出资企业及其子企业失去标的企业控制权的情形）</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未经对方事先书面许可，任何一方不得泄露本合同中的内容。</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本合同的订立、履行，已经取得全部且必要的授权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批准</w:t>
      </w:r>
      <w:r>
        <w:rPr>
          <w:rFonts w:hint="eastAsia" w:ascii="仿宋_GB2312" w:hAnsi="仿宋_GB2312" w:eastAsia="仿宋_GB2312" w:cs="仿宋_GB2312"/>
          <w:sz w:val="32"/>
          <w:szCs w:val="32"/>
        </w:rPr>
        <w:t>。</w:t>
      </w:r>
    </w:p>
    <w:p>
      <w:pPr>
        <w:spacing w:line="600" w:lineRule="exact"/>
        <w:ind w:firstLine="634"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  保密约定</w:t>
      </w:r>
    </w:p>
    <w:p>
      <w:pPr>
        <w:spacing w:line="600" w:lineRule="exact"/>
        <w:ind w:firstLine="634"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b w:val="0"/>
          <w:bCs/>
          <w:sz w:val="32"/>
          <w:szCs w:val="32"/>
        </w:rPr>
        <w:t>本协议任何一方（“接受方”）对从其它方（“披露方”）获得的有关该方业务、财务状况及其它保密事项与专有资料（以下简称“保密资料”）应当予以保密；除对履行其工作职责而需知道上述保密资料的本方雇员外，不得向任何人或实体透露保密资料。</w:t>
      </w:r>
    </w:p>
    <w:p>
      <w:pPr>
        <w:spacing w:line="600" w:lineRule="exact"/>
        <w:ind w:firstLine="634"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上述规定不适用于下述资料：</w:t>
      </w:r>
    </w:p>
    <w:p>
      <w:pPr>
        <w:spacing w:line="600" w:lineRule="exact"/>
        <w:ind w:firstLine="634"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（1）能够证明在披露方作为保密资料向接受方披露前已为接受方所知的资料；</w:t>
      </w:r>
    </w:p>
    <w:p>
      <w:pPr>
        <w:spacing w:line="600" w:lineRule="exact"/>
        <w:ind w:firstLine="634"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（2）非因接受方违反本协议而为公众所知悉的资料；</w:t>
      </w:r>
    </w:p>
    <w:p>
      <w:pPr>
        <w:spacing w:line="600" w:lineRule="exact"/>
        <w:ind w:firstLine="634"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（3）接受方从对该资料不承担任何保密义务的第三方获得的资料。</w:t>
      </w:r>
    </w:p>
    <w:p>
      <w:pPr>
        <w:spacing w:line="600" w:lineRule="exact"/>
        <w:ind w:firstLine="634"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3.</w:t>
      </w:r>
      <w:r>
        <w:rPr>
          <w:rFonts w:hint="eastAsia" w:ascii="仿宋_GB2312" w:hAnsi="仿宋_GB2312" w:eastAsia="仿宋_GB2312" w:cs="仿宋_GB2312"/>
          <w:b w:val="0"/>
          <w:bCs/>
          <w:sz w:val="32"/>
          <w:szCs w:val="32"/>
        </w:rPr>
        <w:t>各方均将制定规章制度，以使其本身及其关联公司的董事、高级职员和其它雇员同样遵守本条所述的保密义务。</w:t>
      </w:r>
    </w:p>
    <w:p>
      <w:pPr>
        <w:spacing w:line="600" w:lineRule="exact"/>
        <w:ind w:firstLine="634"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4.</w:t>
      </w:r>
      <w:r>
        <w:rPr>
          <w:rFonts w:hint="eastAsia" w:ascii="仿宋_GB2312" w:hAnsi="仿宋_GB2312" w:eastAsia="仿宋_GB2312" w:cs="仿宋_GB2312"/>
          <w:b w:val="0"/>
          <w:bCs/>
          <w:sz w:val="32"/>
          <w:szCs w:val="32"/>
        </w:rPr>
        <w:t>本条的规定不适用于：</w:t>
      </w:r>
    </w:p>
    <w:p>
      <w:pPr>
        <w:spacing w:line="600" w:lineRule="exact"/>
        <w:ind w:firstLine="634" w:firstLineChars="200"/>
        <w:rPr>
          <w:rFonts w:hint="eastAsia" w:ascii="仿宋_GB2312" w:hAnsi="仿宋_GB2312" w:eastAsia="仿宋_GB2312" w:cs="仿宋_GB2312"/>
          <w:b/>
          <w:sz w:val="32"/>
          <w:szCs w:val="32"/>
        </w:rPr>
      </w:pPr>
      <w:r>
        <w:rPr>
          <w:rFonts w:hint="eastAsia" w:ascii="仿宋_GB2312" w:hAnsi="仿宋_GB2312" w:eastAsia="仿宋_GB2312" w:cs="仿宋_GB2312"/>
          <w:b w:val="0"/>
          <w:bCs/>
          <w:sz w:val="32"/>
          <w:szCs w:val="32"/>
        </w:rPr>
        <w:t>（1）把资料透露给任何关联公司、贷款人或财务筹资代理机构、双方可能聘请的雇员和顾问或一方预期向之转让其在公司全部或部分股权的任何第三方；但在这种情况下，只应向有合理的业务需要知道该等资料的人或实体透露该等资料，并且这些人或实体应首先以书面形式承诺保守该等资料的保密性。</w:t>
      </w:r>
    </w:p>
    <w:p>
      <w:pPr>
        <w:spacing w:line="600" w:lineRule="exact"/>
        <w:ind w:firstLine="634"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（2）在法律有明确要求的情况下，把资料透露给任何政府或任何有关机构或部门。但是，被要求作出上述透露的一方应在进行上述透露前把该要求及其条款通知其它方。</w:t>
      </w:r>
    </w:p>
    <w:p>
      <w:pPr>
        <w:spacing w:line="600" w:lineRule="exact"/>
        <w:ind w:firstLine="634"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  不可抗力及免责条款</w:t>
      </w:r>
    </w:p>
    <w:p>
      <w:pPr>
        <w:spacing w:line="600" w:lineRule="exact"/>
        <w:ind w:firstLine="634" w:firstLineChars="200"/>
        <w:rPr>
          <w:rFonts w:hint="eastAsia" w:ascii="仿宋_GB2312" w:hAnsi="仿宋_GB2312" w:eastAsia="仿宋_GB2312" w:cs="仿宋_GB2312"/>
          <w:b/>
          <w:sz w:val="32"/>
          <w:szCs w:val="32"/>
          <w:u w:val="single"/>
        </w:rPr>
      </w:pPr>
      <w:r>
        <w:rPr>
          <w:rFonts w:hint="eastAsia" w:ascii="仿宋_GB2312" w:hAnsi="仿宋_GB2312" w:eastAsia="仿宋_GB2312" w:cs="仿宋_GB2312"/>
          <w:b/>
          <w:sz w:val="32"/>
          <w:szCs w:val="32"/>
          <w:u w:val="single"/>
        </w:rPr>
        <w:t xml:space="preserve">                                                                 </w:t>
      </w:r>
    </w:p>
    <w:p>
      <w:pPr>
        <w:spacing w:line="600" w:lineRule="exact"/>
        <w:ind w:firstLine="634" w:firstLineChars="200"/>
        <w:rPr>
          <w:rFonts w:hint="eastAsia" w:ascii="仿宋_GB2312" w:hAnsi="仿宋_GB2312" w:eastAsia="仿宋_GB2312" w:cs="仿宋_GB2312"/>
          <w:b/>
          <w:sz w:val="32"/>
          <w:szCs w:val="32"/>
          <w:u w:val="single"/>
        </w:rPr>
      </w:pPr>
      <w:r>
        <w:rPr>
          <w:rFonts w:hint="eastAsia" w:ascii="仿宋_GB2312" w:hAnsi="仿宋_GB2312" w:eastAsia="仿宋_GB2312" w:cs="仿宋_GB2312"/>
          <w:b/>
          <w:sz w:val="32"/>
          <w:szCs w:val="32"/>
          <w:u w:val="single"/>
        </w:rPr>
        <w:t xml:space="preserve">                                                                    </w:t>
      </w:r>
    </w:p>
    <w:p>
      <w:pPr>
        <w:spacing w:line="600" w:lineRule="exact"/>
        <w:ind w:firstLine="634"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  合同的变更和解除</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发生下列情形的，可以变更或解除合同：</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因情况发生变化，各方当事人经过协商同意，且不损害国家和社会公益利益的；</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因不可抗力因素致使本合同的全部义务不能履行的；</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因一方当事人在合同约定的期限内，因故没有履行合同，其他当事人予以认可的；</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因本合同中约定的变更或解除合同的情况出现的。</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本合同各方同意解除本合同，甲方应将已付款项全额返回。</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本合同需变更或解除，各方必须签订变更或解除合同的协议，并报长沙联合产权交易所有限公司备案。</w:t>
      </w:r>
    </w:p>
    <w:p>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第十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  违约责任及纠纷处理</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任何一方发生违约行为，都必须承担违约责任。</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丙方未能按期支付增资扩股的投资总额，每逾期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天，应按出资额的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％向非违约方支付违约金；丙方逾期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天未履行义务，甲、乙方有权解除本合同。</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经本合同各方协商，也可约定其他赔偿方式。</w:t>
      </w:r>
    </w:p>
    <w:p>
      <w:pPr>
        <w:spacing w:line="600" w:lineRule="exact"/>
        <w:ind w:firstLine="63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甲、乙、丙方在履行本合同过程中若发生争议，可协商解决；调解不成的，可依法向</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所在地人民法院提起诉讼。</w:t>
      </w:r>
    </w:p>
    <w:p>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第十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  其他事宜</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本合同作为解释甲方公司股东之间权利和义务的依据，长期有效，除非各方达成书面合同修改；本合同在不与甲方公司章程冲突的情况下，视为对甲方公司股东权利和义务的解释并具有最高效力。</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本合同自各方</w:t>
      </w:r>
      <w:r>
        <w:rPr>
          <w:rFonts w:hint="eastAsia" w:ascii="仿宋_GB2312" w:hAnsi="仿宋_GB2312" w:eastAsia="仿宋_GB2312" w:cs="仿宋_GB2312"/>
          <w:sz w:val="32"/>
          <w:szCs w:val="32"/>
          <w:lang w:val="en-US" w:eastAsia="zh-CN"/>
        </w:rPr>
        <w:t>签字盖章之日起</w:t>
      </w:r>
      <w:r>
        <w:rPr>
          <w:rFonts w:hint="eastAsia" w:ascii="仿宋_GB2312" w:hAnsi="仿宋_GB2312" w:eastAsia="仿宋_GB2312" w:cs="仿宋_GB2312"/>
          <w:sz w:val="32"/>
          <w:szCs w:val="32"/>
        </w:rPr>
        <w:t>生效。国家法律、法规对本合同生效另有规定的，从其规定。</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本合同所必备的附件，与本合同具有同等的法律效力。</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本合同一式</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份，甲、乙、丙公司各执</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份，长沙联合产权交易所有限公司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份，具有同等法律效力。</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（以下无正文）</w:t>
      </w:r>
      <w:r>
        <w:rPr>
          <w:rFonts w:hint="eastAsia" w:ascii="仿宋_GB2312" w:hAnsi="仿宋_GB2312" w:eastAsia="仿宋_GB2312" w:cs="仿宋_GB2312"/>
          <w:sz w:val="32"/>
          <w:szCs w:val="32"/>
        </w:rPr>
        <w:br w:type="page"/>
      </w:r>
    </w:p>
    <w:p>
      <w:pPr>
        <w:spacing w:line="600" w:lineRule="exact"/>
        <w:rPr>
          <w:rFonts w:hint="eastAsia" w:ascii="仿宋_GB2312" w:hAnsi="仿宋_GB2312" w:eastAsia="仿宋_GB2312" w:cs="仿宋_GB2312"/>
          <w:sz w:val="32"/>
          <w:szCs w:val="32"/>
        </w:rPr>
      </w:pPr>
    </w:p>
    <w:p>
      <w:pPr>
        <w:spacing w:line="60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本页为《增资扩股协议》之签署页</w:t>
      </w:r>
      <w:r>
        <w:rPr>
          <w:rFonts w:hint="eastAsia" w:ascii="仿宋_GB2312" w:hAnsi="仿宋_GB2312" w:eastAsia="仿宋_GB2312" w:cs="仿宋_GB2312"/>
          <w:sz w:val="32"/>
          <w:szCs w:val="32"/>
          <w:lang w:eastAsia="zh-CN"/>
        </w:rPr>
        <w:t>）</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标的企业（甲方）：（盖章）</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pPr>
        <w:spacing w:line="600" w:lineRule="exact"/>
        <w:ind w:leftChars="-95" w:hanging="263" w:hangingChars="8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（或授权代表人签字）</w:t>
      </w:r>
    </w:p>
    <w:p>
      <w:pPr>
        <w:spacing w:line="600" w:lineRule="exact"/>
        <w:rPr>
          <w:rFonts w:hint="eastAsia" w:ascii="仿宋_GB2312" w:hAnsi="仿宋_GB2312" w:eastAsia="仿宋_GB2312" w:cs="仿宋_GB2312"/>
          <w:sz w:val="32"/>
          <w:szCs w:val="32"/>
        </w:rPr>
      </w:pP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原股东（乙方）：（盖章）</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pPr>
        <w:spacing w:line="600" w:lineRule="exact"/>
        <w:ind w:leftChars="-95" w:hanging="263" w:hangingChars="8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（或授权代表人签字）</w:t>
      </w:r>
    </w:p>
    <w:p>
      <w:pPr>
        <w:spacing w:line="600" w:lineRule="exact"/>
        <w:rPr>
          <w:rFonts w:hint="eastAsia" w:ascii="仿宋_GB2312" w:hAnsi="仿宋_GB2312" w:eastAsia="仿宋_GB2312" w:cs="仿宋_GB2312"/>
          <w:sz w:val="32"/>
          <w:szCs w:val="32"/>
        </w:rPr>
      </w:pP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新增投资方（丙方）：（盖章）</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pPr>
        <w:spacing w:line="600" w:lineRule="exact"/>
        <w:ind w:left="-409" w:leftChars="-198" w:firstLine="286" w:firstLineChars="9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（或授权代表人签字）</w:t>
      </w:r>
    </w:p>
    <w:p>
      <w:pPr>
        <w:snapToGrid w:val="0"/>
        <w:spacing w:line="600" w:lineRule="exact"/>
        <w:rPr>
          <w:rFonts w:hint="eastAsia" w:ascii="仿宋_GB2312" w:hAnsi="仿宋_GB2312" w:eastAsia="仿宋_GB2312" w:cs="仿宋_GB2312"/>
          <w:sz w:val="32"/>
          <w:szCs w:val="32"/>
        </w:rPr>
      </w:pPr>
      <w:bookmarkStart w:id="0" w:name="_GoBack"/>
      <w:bookmarkEnd w:id="0"/>
    </w:p>
    <w:p>
      <w:pPr>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签约日期：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月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snapToGrid w:val="0"/>
        <w:spacing w:line="600" w:lineRule="exact"/>
        <w:rPr>
          <w:rFonts w:hint="eastAsia" w:ascii="仿宋_GB2312" w:hAnsi="仿宋_GB2312" w:eastAsia="仿宋_GB2312" w:cs="仿宋_GB2312"/>
          <w:sz w:val="32"/>
          <w:szCs w:val="32"/>
        </w:rPr>
      </w:pPr>
    </w:p>
    <w:p>
      <w:pPr>
        <w:snapToGrid w:val="0"/>
        <w:spacing w:line="600" w:lineRule="exact"/>
        <w:ind w:left="5389" w:right="472" w:hanging="5389" w:hangingChars="17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长沙联合产权交易所有限公司                                                      （交易合同审核章）</w:t>
      </w:r>
    </w:p>
    <w:p>
      <w:pPr>
        <w:snapToGrid w:val="0"/>
        <w:spacing w:line="600" w:lineRule="exact"/>
        <w:ind w:left="4121" w:right="472" w:hanging="2691" w:hangingChars="1300"/>
        <w:jc w:val="center"/>
        <w:rPr>
          <w:rFonts w:hint="default" w:ascii="仿宋_GB2312" w:hAnsi="仿宋_GB2312" w:eastAsia="仿宋_GB2312" w:cs="仿宋_GB2312"/>
          <w:sz w:val="32"/>
          <w:szCs w:val="32"/>
        </w:rPr>
        <w:sectPr>
          <w:footerReference r:id="rId5" w:type="default"/>
          <w:pgSz w:w="11906" w:h="16838"/>
          <w:pgMar w:top="1178" w:right="1474" w:bottom="1649" w:left="1588" w:header="851" w:footer="694" w:gutter="0"/>
          <w:pgNumType w:fmt="numberInDash" w:start="1"/>
          <w:cols w:space="720" w:num="1"/>
          <w:docGrid w:type="linesAndChars" w:linePitch="472" w:charSpace="-743"/>
        </w:sectPr>
      </w:pPr>
      <w:r>
        <w:rPr>
          <w:rFonts w:hint="eastAsia"/>
          <w:szCs w:val="32"/>
          <w:lang w:val="en-US" w:eastAsia="zh-CN"/>
        </w:rPr>
        <w:t xml:space="preserve">                                                   </w:t>
      </w:r>
      <w:r>
        <w:rPr>
          <w:rFonts w:hint="eastAsia" w:ascii="仿宋_GB2312" w:hAnsi="仿宋_GB2312" w:eastAsia="仿宋_GB2312" w:cs="仿宋_GB2312"/>
          <w:sz w:val="32"/>
          <w:szCs w:val="32"/>
        </w:rPr>
        <w:t>年　月　</w:t>
      </w:r>
      <w:r>
        <w:rPr>
          <w:rFonts w:hint="eastAsia" w:ascii="仿宋_GB2312" w:hAnsi="仿宋_GB2312" w:eastAsia="仿宋_GB2312" w:cs="仿宋_GB2312"/>
          <w:sz w:val="32"/>
          <w:szCs w:val="32"/>
          <w:lang w:val="en-US" w:eastAsia="zh-CN"/>
        </w:rPr>
        <w:t xml:space="preserve"> 日</w:t>
      </w:r>
    </w:p>
    <w:p>
      <w:pPr>
        <w:snapToGrid w:val="0"/>
        <w:spacing w:line="600" w:lineRule="exact"/>
        <w:rPr>
          <w:rFonts w:hint="eastAsia" w:ascii="仿宋_GB2312" w:hAnsi="仿宋_GB2312" w:eastAsia="仿宋_GB2312" w:cs="仿宋_GB2312"/>
          <w:sz w:val="32"/>
          <w:szCs w:val="32"/>
        </w:rPr>
      </w:pPr>
    </w:p>
    <w:sectPr>
      <w:headerReference r:id="rId6" w:type="default"/>
      <w:footerReference r:id="rId7"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swiss"/>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8"/>
      </w:rPr>
    </w:pPr>
    <w:r>
      <w:rPr>
        <w:rFonts w:hint="eastAsia"/>
        <w:kern w:val="0"/>
        <w:sz w:val="28"/>
        <w:szCs w:val="21"/>
      </w:rPr>
      <w:t xml:space="preserve">  </w:t>
    </w:r>
    <w:r>
      <w:rPr>
        <w:kern w:val="0"/>
        <w:sz w:val="28"/>
        <w:szCs w:val="21"/>
      </w:rPr>
      <w:t xml:space="preserve">- </w:t>
    </w:r>
    <w:r>
      <w:rPr>
        <w:kern w:val="0"/>
        <w:sz w:val="28"/>
        <w:szCs w:val="21"/>
      </w:rPr>
      <w:fldChar w:fldCharType="begin"/>
    </w:r>
    <w:r>
      <w:rPr>
        <w:kern w:val="0"/>
        <w:sz w:val="28"/>
        <w:szCs w:val="21"/>
      </w:rPr>
      <w:instrText xml:space="preserve"> PAGE </w:instrText>
    </w:r>
    <w:r>
      <w:rPr>
        <w:kern w:val="0"/>
        <w:sz w:val="28"/>
        <w:szCs w:val="21"/>
      </w:rPr>
      <w:fldChar w:fldCharType="separate"/>
    </w:r>
    <w:r>
      <w:rPr>
        <w:kern w:val="0"/>
        <w:sz w:val="28"/>
        <w:szCs w:val="21"/>
      </w:rPr>
      <w:t>12</w:t>
    </w:r>
    <w:r>
      <w:rPr>
        <w:kern w:val="0"/>
        <w:sz w:val="28"/>
        <w:szCs w:val="21"/>
      </w:rPr>
      <w:fldChar w:fldCharType="end"/>
    </w:r>
    <w:r>
      <w:rPr>
        <w:kern w:val="0"/>
        <w:sz w:val="28"/>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kern w:val="0"/>
        <w:sz w:val="28"/>
        <w:szCs w:val="21"/>
      </w:rPr>
    </w:pPr>
  </w:p>
  <w:p>
    <w:pPr>
      <w:pStyle w:val="7"/>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3ZjVjMjgzYjdhODc4MTFmZTE0M2M4ZjZmMmQ0ODAifQ=="/>
  </w:docVars>
  <w:rsids>
    <w:rsidRoot w:val="00CE5DCB"/>
    <w:rsid w:val="00086AF9"/>
    <w:rsid w:val="000F1EE2"/>
    <w:rsid w:val="001518E0"/>
    <w:rsid w:val="00184357"/>
    <w:rsid w:val="001B1949"/>
    <w:rsid w:val="002323C2"/>
    <w:rsid w:val="00236FE2"/>
    <w:rsid w:val="0028321D"/>
    <w:rsid w:val="002E2009"/>
    <w:rsid w:val="003177A3"/>
    <w:rsid w:val="00331E5B"/>
    <w:rsid w:val="0036275D"/>
    <w:rsid w:val="00375AF7"/>
    <w:rsid w:val="003D5378"/>
    <w:rsid w:val="003E5012"/>
    <w:rsid w:val="003F4674"/>
    <w:rsid w:val="00403439"/>
    <w:rsid w:val="004D56A8"/>
    <w:rsid w:val="004F2EFE"/>
    <w:rsid w:val="0055435D"/>
    <w:rsid w:val="005A7E27"/>
    <w:rsid w:val="005C5C61"/>
    <w:rsid w:val="005D3CB7"/>
    <w:rsid w:val="005D5E32"/>
    <w:rsid w:val="005F685A"/>
    <w:rsid w:val="0060338D"/>
    <w:rsid w:val="00672F29"/>
    <w:rsid w:val="006D6DE5"/>
    <w:rsid w:val="0071704C"/>
    <w:rsid w:val="00742699"/>
    <w:rsid w:val="00777B3E"/>
    <w:rsid w:val="007D55C6"/>
    <w:rsid w:val="007D6C1E"/>
    <w:rsid w:val="007F6DE7"/>
    <w:rsid w:val="00814E48"/>
    <w:rsid w:val="0081597A"/>
    <w:rsid w:val="008D5DBB"/>
    <w:rsid w:val="00942564"/>
    <w:rsid w:val="009846F7"/>
    <w:rsid w:val="009909F8"/>
    <w:rsid w:val="009939F4"/>
    <w:rsid w:val="009D70C9"/>
    <w:rsid w:val="009F39BC"/>
    <w:rsid w:val="00A45663"/>
    <w:rsid w:val="00B03C43"/>
    <w:rsid w:val="00B57F8D"/>
    <w:rsid w:val="00BC5568"/>
    <w:rsid w:val="00C07038"/>
    <w:rsid w:val="00C07ABA"/>
    <w:rsid w:val="00C4283A"/>
    <w:rsid w:val="00C551EE"/>
    <w:rsid w:val="00C71912"/>
    <w:rsid w:val="00C824BF"/>
    <w:rsid w:val="00C95B38"/>
    <w:rsid w:val="00CC3303"/>
    <w:rsid w:val="00CD169B"/>
    <w:rsid w:val="00CD3C94"/>
    <w:rsid w:val="00CE5DCB"/>
    <w:rsid w:val="00CF2A8F"/>
    <w:rsid w:val="00D323DE"/>
    <w:rsid w:val="00D468B3"/>
    <w:rsid w:val="00D55509"/>
    <w:rsid w:val="00DA5DDD"/>
    <w:rsid w:val="00DD1C52"/>
    <w:rsid w:val="00DD365B"/>
    <w:rsid w:val="00E24FB8"/>
    <w:rsid w:val="00E65237"/>
    <w:rsid w:val="00E9742E"/>
    <w:rsid w:val="00EB0698"/>
    <w:rsid w:val="00EC5555"/>
    <w:rsid w:val="00F058B3"/>
    <w:rsid w:val="00F13C44"/>
    <w:rsid w:val="00F471CC"/>
    <w:rsid w:val="00FA3CA7"/>
    <w:rsid w:val="030A5E0C"/>
    <w:rsid w:val="03E25854"/>
    <w:rsid w:val="04377D98"/>
    <w:rsid w:val="0623601E"/>
    <w:rsid w:val="091B377D"/>
    <w:rsid w:val="0A3F005D"/>
    <w:rsid w:val="0A550002"/>
    <w:rsid w:val="0AF07ACD"/>
    <w:rsid w:val="0B02141F"/>
    <w:rsid w:val="0B0E7430"/>
    <w:rsid w:val="0B1957C1"/>
    <w:rsid w:val="0BDC3301"/>
    <w:rsid w:val="0C4B3414"/>
    <w:rsid w:val="0C747FFC"/>
    <w:rsid w:val="0C982C15"/>
    <w:rsid w:val="0D2C77AB"/>
    <w:rsid w:val="0DFB6B7F"/>
    <w:rsid w:val="0F000F7B"/>
    <w:rsid w:val="100E52E5"/>
    <w:rsid w:val="106D2509"/>
    <w:rsid w:val="10925C1A"/>
    <w:rsid w:val="118B5AD6"/>
    <w:rsid w:val="11C31AE8"/>
    <w:rsid w:val="11EC4876"/>
    <w:rsid w:val="15485690"/>
    <w:rsid w:val="16294BEB"/>
    <w:rsid w:val="190C23A4"/>
    <w:rsid w:val="19584A22"/>
    <w:rsid w:val="1A986BDD"/>
    <w:rsid w:val="1B7D2B6C"/>
    <w:rsid w:val="1CB66AFC"/>
    <w:rsid w:val="1DCA77EF"/>
    <w:rsid w:val="1F7D6E36"/>
    <w:rsid w:val="20A53730"/>
    <w:rsid w:val="230A7FBC"/>
    <w:rsid w:val="23290648"/>
    <w:rsid w:val="240750AB"/>
    <w:rsid w:val="243D3F00"/>
    <w:rsid w:val="24F536AF"/>
    <w:rsid w:val="26723EA0"/>
    <w:rsid w:val="26DE4854"/>
    <w:rsid w:val="27BE10F2"/>
    <w:rsid w:val="28CF1C92"/>
    <w:rsid w:val="29275693"/>
    <w:rsid w:val="297E60A1"/>
    <w:rsid w:val="29FA6EA1"/>
    <w:rsid w:val="2A0F05AA"/>
    <w:rsid w:val="2A172D9D"/>
    <w:rsid w:val="2B111B7B"/>
    <w:rsid w:val="2B320F6B"/>
    <w:rsid w:val="2C0A6A50"/>
    <w:rsid w:val="2C144DE1"/>
    <w:rsid w:val="2C202DF2"/>
    <w:rsid w:val="2C401128"/>
    <w:rsid w:val="2E177C60"/>
    <w:rsid w:val="2F35211E"/>
    <w:rsid w:val="2FCD159E"/>
    <w:rsid w:val="2FD00080"/>
    <w:rsid w:val="30534DD6"/>
    <w:rsid w:val="31A359FC"/>
    <w:rsid w:val="3334290F"/>
    <w:rsid w:val="34856DB9"/>
    <w:rsid w:val="355E0C9B"/>
    <w:rsid w:val="3699519F"/>
    <w:rsid w:val="36A50CD1"/>
    <w:rsid w:val="3748579D"/>
    <w:rsid w:val="37931417"/>
    <w:rsid w:val="37F44950"/>
    <w:rsid w:val="3AAE2F0D"/>
    <w:rsid w:val="3B181801"/>
    <w:rsid w:val="3C111A19"/>
    <w:rsid w:val="3CBF2E36"/>
    <w:rsid w:val="3CC94A4B"/>
    <w:rsid w:val="3CE974FE"/>
    <w:rsid w:val="3D143CBF"/>
    <w:rsid w:val="3EC76A8F"/>
    <w:rsid w:val="401A6AE5"/>
    <w:rsid w:val="40631D33"/>
    <w:rsid w:val="412874F2"/>
    <w:rsid w:val="41523BBA"/>
    <w:rsid w:val="41B525D9"/>
    <w:rsid w:val="42212F8E"/>
    <w:rsid w:val="42415A41"/>
    <w:rsid w:val="43E828F9"/>
    <w:rsid w:val="44C2005E"/>
    <w:rsid w:val="45B11EE5"/>
    <w:rsid w:val="46691693"/>
    <w:rsid w:val="47997807"/>
    <w:rsid w:val="481419DA"/>
    <w:rsid w:val="487D32FD"/>
    <w:rsid w:val="48B459D5"/>
    <w:rsid w:val="49155AFF"/>
    <w:rsid w:val="49F805EB"/>
    <w:rsid w:val="4A706FB0"/>
    <w:rsid w:val="4AA51C67"/>
    <w:rsid w:val="4ABD162D"/>
    <w:rsid w:val="4C0C7D75"/>
    <w:rsid w:val="4C43492C"/>
    <w:rsid w:val="4CAF1A5D"/>
    <w:rsid w:val="4CF15D4A"/>
    <w:rsid w:val="4E8D0FEE"/>
    <w:rsid w:val="504925C9"/>
    <w:rsid w:val="531639E1"/>
    <w:rsid w:val="53662B30"/>
    <w:rsid w:val="53772781"/>
    <w:rsid w:val="552F3EB2"/>
    <w:rsid w:val="56391F84"/>
    <w:rsid w:val="576A00F7"/>
    <w:rsid w:val="58DB6CD4"/>
    <w:rsid w:val="59297EA7"/>
    <w:rsid w:val="5A9802AF"/>
    <w:rsid w:val="5B470504"/>
    <w:rsid w:val="5BDD2B45"/>
    <w:rsid w:val="5C9F314E"/>
    <w:rsid w:val="5D385380"/>
    <w:rsid w:val="5D6416C7"/>
    <w:rsid w:val="5DCD1236"/>
    <w:rsid w:val="5E4F68A8"/>
    <w:rsid w:val="5F4253D5"/>
    <w:rsid w:val="60467201"/>
    <w:rsid w:val="618902F5"/>
    <w:rsid w:val="62246792"/>
    <w:rsid w:val="62E742D1"/>
    <w:rsid w:val="63C74492"/>
    <w:rsid w:val="65262602"/>
    <w:rsid w:val="65474D35"/>
    <w:rsid w:val="69DB133C"/>
    <w:rsid w:val="69FD3A6F"/>
    <w:rsid w:val="6ACA793F"/>
    <w:rsid w:val="6B3045EC"/>
    <w:rsid w:val="6B8D0D02"/>
    <w:rsid w:val="6C5C00D6"/>
    <w:rsid w:val="6C7147F8"/>
    <w:rsid w:val="6CC11018"/>
    <w:rsid w:val="6CD8348D"/>
    <w:rsid w:val="6D23428A"/>
    <w:rsid w:val="71513F13"/>
    <w:rsid w:val="71C80FAE"/>
    <w:rsid w:val="721553B9"/>
    <w:rsid w:val="72617A36"/>
    <w:rsid w:val="726B2544"/>
    <w:rsid w:val="72AD6831"/>
    <w:rsid w:val="74F71921"/>
    <w:rsid w:val="7538639F"/>
    <w:rsid w:val="765C3ABF"/>
    <w:rsid w:val="76FF6B4B"/>
    <w:rsid w:val="770A4EDC"/>
    <w:rsid w:val="78054D74"/>
    <w:rsid w:val="78715728"/>
    <w:rsid w:val="78A90515"/>
    <w:rsid w:val="78D244C8"/>
    <w:rsid w:val="7B5D15F3"/>
    <w:rsid w:val="7DA75CB5"/>
    <w:rsid w:val="7E272880"/>
    <w:rsid w:val="7E4029B0"/>
    <w:rsid w:val="7F2E4837"/>
    <w:rsid w:val="7FBC791E"/>
    <w:rsid w:val="7FD178C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Times New Roman" w:hAnsi="Times New Roman" w:cs="Times New Roman"/>
      <w:sz w:val="20"/>
    </w:rPr>
  </w:style>
  <w:style w:type="paragraph" w:styleId="3">
    <w:name w:val="Body Text"/>
    <w:basedOn w:val="1"/>
    <w:qFormat/>
    <w:uiPriority w:val="0"/>
    <w:pPr>
      <w:spacing w:before="0" w:after="120" w:line="240" w:lineRule="auto"/>
      <w:ind w:right="0" w:rightChars="0"/>
    </w:pPr>
    <w:rPr>
      <w:rFonts w:ascii="Calibri" w:hAnsi="Calibri"/>
      <w:kern w:val="0"/>
      <w:sz w:val="20"/>
    </w:rPr>
  </w:style>
  <w:style w:type="paragraph" w:styleId="4">
    <w:name w:val="annotation text"/>
    <w:basedOn w:val="1"/>
    <w:link w:val="17"/>
    <w:semiHidden/>
    <w:unhideWhenUsed/>
    <w:qFormat/>
    <w:uiPriority w:val="99"/>
    <w:pPr>
      <w:jc w:val="left"/>
    </w:pPr>
  </w:style>
  <w:style w:type="paragraph" w:styleId="5">
    <w:name w:val="Body Text Indent"/>
    <w:basedOn w:val="1"/>
    <w:link w:val="13"/>
    <w:qFormat/>
    <w:uiPriority w:val="99"/>
    <w:pPr>
      <w:snapToGrid w:val="0"/>
      <w:spacing w:line="324" w:lineRule="auto"/>
      <w:ind w:firstLine="585"/>
    </w:pPr>
    <w:rPr>
      <w:rFonts w:eastAsia="仿宋_GB2312"/>
      <w:sz w:val="28"/>
    </w:rPr>
  </w:style>
  <w:style w:type="paragraph" w:styleId="6">
    <w:name w:val="Balloon Text"/>
    <w:basedOn w:val="1"/>
    <w:link w:val="16"/>
    <w:semiHidden/>
    <w:unhideWhenUsed/>
    <w:qFormat/>
    <w:uiPriority w:val="99"/>
    <w:rPr>
      <w:sz w:val="18"/>
      <w:szCs w:val="18"/>
    </w:rPr>
  </w:style>
  <w:style w:type="paragraph" w:styleId="7">
    <w:name w:val="footer"/>
    <w:basedOn w:val="1"/>
    <w:link w:val="14"/>
    <w:qFormat/>
    <w:uiPriority w:val="99"/>
    <w:pPr>
      <w:tabs>
        <w:tab w:val="center" w:pos="4153"/>
        <w:tab w:val="right" w:pos="8306"/>
      </w:tabs>
      <w:snapToGrid w:val="0"/>
      <w:jc w:val="left"/>
    </w:pPr>
    <w:rPr>
      <w:sz w:val="18"/>
      <w:szCs w:val="18"/>
    </w:rPr>
  </w:style>
  <w:style w:type="paragraph" w:styleId="8">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18"/>
    <w:semiHidden/>
    <w:unhideWhenUsed/>
    <w:qFormat/>
    <w:uiPriority w:val="99"/>
    <w:rPr>
      <w:b/>
      <w:bCs/>
    </w:rPr>
  </w:style>
  <w:style w:type="character" w:styleId="12">
    <w:name w:val="annotation reference"/>
    <w:basedOn w:val="11"/>
    <w:semiHidden/>
    <w:unhideWhenUsed/>
    <w:qFormat/>
    <w:uiPriority w:val="99"/>
    <w:rPr>
      <w:sz w:val="21"/>
      <w:szCs w:val="21"/>
    </w:rPr>
  </w:style>
  <w:style w:type="character" w:customStyle="1" w:styleId="13">
    <w:name w:val="正文文本缩进 Char"/>
    <w:basedOn w:val="11"/>
    <w:link w:val="5"/>
    <w:semiHidden/>
    <w:qFormat/>
    <w:locked/>
    <w:uiPriority w:val="99"/>
    <w:rPr>
      <w:rFonts w:ascii="Times New Roman" w:hAnsi="Times New Roman" w:eastAsia="仿宋_GB2312" w:cs="Times New Roman"/>
      <w:sz w:val="20"/>
      <w:szCs w:val="20"/>
    </w:rPr>
  </w:style>
  <w:style w:type="character" w:customStyle="1" w:styleId="14">
    <w:name w:val="页脚 Char"/>
    <w:basedOn w:val="11"/>
    <w:link w:val="7"/>
    <w:qFormat/>
    <w:locked/>
    <w:uiPriority w:val="99"/>
    <w:rPr>
      <w:rFonts w:ascii="Times New Roman" w:hAnsi="Times New Roman" w:eastAsia="宋体" w:cs="Times New Roman"/>
      <w:sz w:val="18"/>
      <w:szCs w:val="18"/>
    </w:rPr>
  </w:style>
  <w:style w:type="character" w:customStyle="1" w:styleId="15">
    <w:name w:val="页眉 Char"/>
    <w:basedOn w:val="11"/>
    <w:link w:val="8"/>
    <w:semiHidden/>
    <w:qFormat/>
    <w:locked/>
    <w:uiPriority w:val="99"/>
    <w:rPr>
      <w:rFonts w:ascii="Times New Roman" w:hAnsi="Times New Roman" w:eastAsia="宋体" w:cs="Times New Roman"/>
      <w:sz w:val="18"/>
      <w:szCs w:val="18"/>
    </w:rPr>
  </w:style>
  <w:style w:type="character" w:customStyle="1" w:styleId="16">
    <w:name w:val="批注框文本 Char"/>
    <w:basedOn w:val="11"/>
    <w:link w:val="6"/>
    <w:semiHidden/>
    <w:qFormat/>
    <w:uiPriority w:val="99"/>
    <w:rPr>
      <w:kern w:val="2"/>
      <w:sz w:val="18"/>
      <w:szCs w:val="18"/>
    </w:rPr>
  </w:style>
  <w:style w:type="character" w:customStyle="1" w:styleId="17">
    <w:name w:val="批注文字 Char"/>
    <w:basedOn w:val="11"/>
    <w:link w:val="4"/>
    <w:semiHidden/>
    <w:qFormat/>
    <w:uiPriority w:val="99"/>
    <w:rPr>
      <w:kern w:val="2"/>
      <w:sz w:val="21"/>
    </w:rPr>
  </w:style>
  <w:style w:type="character" w:customStyle="1" w:styleId="18">
    <w:name w:val="批注主题 Char"/>
    <w:basedOn w:val="17"/>
    <w:link w:val="9"/>
    <w:semiHidden/>
    <w:qFormat/>
    <w:uiPriority w:val="99"/>
    <w:rPr>
      <w:b/>
      <w:bCs/>
      <w:kern w:val="2"/>
      <w:sz w:val="21"/>
    </w:rPr>
  </w:style>
  <w:style w:type="paragraph" w:customStyle="1" w:styleId="19">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18</Pages>
  <Words>6479</Words>
  <Characters>6533</Characters>
  <Lines>39</Lines>
  <Paragraphs>10</Paragraphs>
  <TotalTime>18</TotalTime>
  <ScaleCrop>false</ScaleCrop>
  <LinksUpToDate>false</LinksUpToDate>
  <CharactersWithSpaces>7583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2019-12-04T16:53:00Z</dcterms:created>
  <dc:creator>lenovo</dc:creator>
  <cp:lastModifiedBy>熊静静</cp:lastModifiedBy>
  <cp:lastPrinted>2019-12-06T02:26:00Z</cp:lastPrinted>
  <dcterms:modified xsi:type="dcterms:W3CDTF">2022-10-26T01:17:19Z</dcterms:modified>
  <dc:title>挂牌编号：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251BC0D0179243A096489285C6469276</vt:lpwstr>
  </property>
</Properties>
</file>